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578" w:rsidRDefault="004C1578" w:rsidP="002A7A10">
      <w:pPr>
        <w:jc w:val="center"/>
        <w:rPr>
          <w:rFonts w:ascii="Gill Sans MT" w:hAnsi="Gill Sans MT"/>
          <w:b/>
          <w:bCs/>
          <w:sz w:val="24"/>
          <w:szCs w:val="24"/>
        </w:rPr>
      </w:pPr>
      <w:bookmarkStart w:id="0" w:name="_GoBack"/>
      <w:bookmarkEnd w:id="0"/>
      <w:r>
        <w:rPr>
          <w:noProof/>
          <w:lang w:val="en-GB" w:eastAsia="en-GB"/>
        </w:rPr>
        <w:drawing>
          <wp:inline distT="0" distB="0" distL="0" distR="0" wp14:anchorId="1BBAD04F" wp14:editId="68D63599">
            <wp:extent cx="2990850" cy="1286386"/>
            <wp:effectExtent l="19050" t="0" r="0" b="0"/>
            <wp:docPr id="8" name="Image 8" descr="http://festival-gnaoua.net/site_media/photos/droitsdelhomme-01.jpg.310x133_q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estival-gnaoua.net/site_media/photos/droitsdelhomme-01.jpg.310x133_q85.jpg"/>
                    <pic:cNvPicPr>
                      <a:picLocks noChangeAspect="1" noChangeArrowheads="1"/>
                    </pic:cNvPicPr>
                  </pic:nvPicPr>
                  <pic:blipFill>
                    <a:blip r:embed="rId12"/>
                    <a:srcRect/>
                    <a:stretch>
                      <a:fillRect/>
                    </a:stretch>
                  </pic:blipFill>
                  <pic:spPr bwMode="auto">
                    <a:xfrm>
                      <a:off x="0" y="0"/>
                      <a:ext cx="2991997" cy="1286879"/>
                    </a:xfrm>
                    <a:prstGeom prst="rect">
                      <a:avLst/>
                    </a:prstGeom>
                    <a:noFill/>
                    <a:ln w="9525">
                      <a:noFill/>
                      <a:miter lim="800000"/>
                      <a:headEnd/>
                      <a:tailEnd/>
                    </a:ln>
                  </pic:spPr>
                </pic:pic>
              </a:graphicData>
            </a:graphic>
          </wp:inline>
        </w:drawing>
      </w:r>
    </w:p>
    <w:p w:rsidR="009F7A49" w:rsidRPr="002A7A10" w:rsidRDefault="009F7A49" w:rsidP="002A7A10">
      <w:pPr>
        <w:jc w:val="center"/>
        <w:rPr>
          <w:rFonts w:ascii="Gill Sans MT" w:hAnsi="Gill Sans MT"/>
          <w:b/>
          <w:bCs/>
          <w:sz w:val="24"/>
          <w:szCs w:val="24"/>
        </w:rPr>
      </w:pPr>
      <w:r w:rsidRPr="009F7A49">
        <w:rPr>
          <w:rFonts w:ascii="Gill Sans MT" w:hAnsi="Gill Sans MT"/>
          <w:b/>
          <w:bCs/>
          <w:sz w:val="24"/>
          <w:szCs w:val="24"/>
        </w:rPr>
        <w:t>Contribution du Conseil national des droits de l’Homme du Royaume du Maroc (CNDH) aux travaux de la 67</w:t>
      </w:r>
      <w:r w:rsidRPr="009F7A49">
        <w:rPr>
          <w:rFonts w:ascii="Gill Sans MT" w:hAnsi="Gill Sans MT"/>
          <w:b/>
          <w:bCs/>
          <w:sz w:val="24"/>
          <w:szCs w:val="24"/>
          <w:vertAlign w:val="superscript"/>
        </w:rPr>
        <w:t>ème</w:t>
      </w:r>
      <w:r w:rsidRPr="009F7A49">
        <w:rPr>
          <w:rFonts w:ascii="Gill Sans MT" w:hAnsi="Gill Sans MT"/>
          <w:b/>
          <w:bCs/>
          <w:sz w:val="24"/>
          <w:szCs w:val="24"/>
        </w:rPr>
        <w:t xml:space="preserve"> session du Comité des droits de l’enfant</w:t>
      </w:r>
    </w:p>
    <w:p w:rsidR="009F7A49" w:rsidRPr="009F7A49" w:rsidRDefault="009F7A49" w:rsidP="009F7A49">
      <w:pPr>
        <w:autoSpaceDE w:val="0"/>
        <w:autoSpaceDN w:val="0"/>
        <w:adjustRightInd w:val="0"/>
        <w:jc w:val="both"/>
        <w:rPr>
          <w:rFonts w:ascii="Gill Sans MT" w:hAnsi="Gill Sans MT"/>
          <w:sz w:val="24"/>
          <w:szCs w:val="24"/>
        </w:rPr>
      </w:pPr>
      <w:r w:rsidRPr="009F7A49">
        <w:rPr>
          <w:rFonts w:ascii="Gill Sans MT" w:hAnsi="Gill Sans MT"/>
          <w:sz w:val="24"/>
          <w:szCs w:val="24"/>
        </w:rPr>
        <w:t xml:space="preserve">1. </w:t>
      </w:r>
      <w:r>
        <w:rPr>
          <w:rFonts w:ascii="Gill Sans MT" w:hAnsi="Gill Sans MT"/>
          <w:sz w:val="24"/>
          <w:szCs w:val="24"/>
        </w:rPr>
        <w:t>A</w:t>
      </w:r>
      <w:r w:rsidRPr="009F7A49">
        <w:rPr>
          <w:rFonts w:ascii="Gill Sans MT" w:hAnsi="Gill Sans MT"/>
          <w:sz w:val="24"/>
          <w:szCs w:val="24"/>
        </w:rPr>
        <w:t xml:space="preserve"> l’occasion de la soumission du 3</w:t>
      </w:r>
      <w:r w:rsidRPr="009F7A49">
        <w:rPr>
          <w:rFonts w:ascii="Gill Sans MT" w:hAnsi="Gill Sans MT"/>
          <w:sz w:val="24"/>
          <w:szCs w:val="24"/>
          <w:vertAlign w:val="superscript"/>
        </w:rPr>
        <w:t>ème</w:t>
      </w:r>
      <w:r w:rsidRPr="009F7A49">
        <w:rPr>
          <w:rFonts w:ascii="Gill Sans MT" w:hAnsi="Gill Sans MT"/>
          <w:sz w:val="24"/>
          <w:szCs w:val="24"/>
        </w:rPr>
        <w:t xml:space="preserve"> et du 4</w:t>
      </w:r>
      <w:r w:rsidRPr="009F7A49">
        <w:rPr>
          <w:rFonts w:ascii="Gill Sans MT" w:hAnsi="Gill Sans MT"/>
          <w:sz w:val="24"/>
          <w:szCs w:val="24"/>
          <w:vertAlign w:val="superscript"/>
        </w:rPr>
        <w:t>ème</w:t>
      </w:r>
      <w:r w:rsidRPr="009F7A49">
        <w:rPr>
          <w:rFonts w:ascii="Gill Sans MT" w:hAnsi="Gill Sans MT"/>
          <w:sz w:val="24"/>
          <w:szCs w:val="24"/>
        </w:rPr>
        <w:t xml:space="preserve"> rapports </w:t>
      </w:r>
      <w:r>
        <w:rPr>
          <w:rFonts w:ascii="Gill Sans MT" w:hAnsi="Gill Sans MT"/>
          <w:sz w:val="24"/>
          <w:szCs w:val="24"/>
        </w:rPr>
        <w:t>périodiques</w:t>
      </w:r>
      <w:r w:rsidRPr="009F7A49">
        <w:rPr>
          <w:rFonts w:ascii="Gill Sans MT" w:hAnsi="Gill Sans MT"/>
          <w:sz w:val="24"/>
          <w:szCs w:val="24"/>
        </w:rPr>
        <w:t xml:space="preserve"> sur la mise en œuvre de la Convention des droit de l’enfant et le rapport initial concernant le Protocol facultatif sur </w:t>
      </w:r>
      <w:r w:rsidRPr="009F7A49">
        <w:rPr>
          <w:rFonts w:ascii="Gill Sans MT" w:hAnsi="Gill Sans MT" w:cs="Times New Roman"/>
          <w:sz w:val="24"/>
          <w:szCs w:val="24"/>
        </w:rPr>
        <w:t>l'implication d'enfants dans les conflits armés</w:t>
      </w:r>
      <w:r>
        <w:rPr>
          <w:rFonts w:ascii="Gill Sans MT" w:hAnsi="Gill Sans MT" w:cs="Times New Roman"/>
          <w:sz w:val="24"/>
          <w:szCs w:val="24"/>
        </w:rPr>
        <w:t xml:space="preserve">, </w:t>
      </w:r>
      <w:r>
        <w:rPr>
          <w:rFonts w:ascii="Gill Sans MT" w:hAnsi="Gill Sans MT"/>
          <w:sz w:val="24"/>
          <w:szCs w:val="24"/>
        </w:rPr>
        <w:t>l</w:t>
      </w:r>
      <w:r w:rsidRPr="009F7A49">
        <w:rPr>
          <w:rFonts w:ascii="Gill Sans MT" w:hAnsi="Gill Sans MT"/>
          <w:sz w:val="24"/>
          <w:szCs w:val="24"/>
        </w:rPr>
        <w:t>e Conseil national des droits de l’Homme (CNDH) a l'honneur de présenter au Comité des droits de l'enfant des Nations</w:t>
      </w:r>
      <w:r>
        <w:rPr>
          <w:rFonts w:ascii="Gill Sans MT" w:hAnsi="Gill Sans MT"/>
          <w:sz w:val="24"/>
          <w:szCs w:val="24"/>
        </w:rPr>
        <w:t xml:space="preserve"> </w:t>
      </w:r>
      <w:r w:rsidR="000E758D">
        <w:rPr>
          <w:rFonts w:ascii="Gill Sans MT" w:hAnsi="Gill Sans MT"/>
          <w:sz w:val="24"/>
          <w:szCs w:val="24"/>
        </w:rPr>
        <w:t>u</w:t>
      </w:r>
      <w:r>
        <w:rPr>
          <w:rFonts w:ascii="Gill Sans MT" w:hAnsi="Gill Sans MT"/>
          <w:sz w:val="24"/>
          <w:szCs w:val="24"/>
        </w:rPr>
        <w:t xml:space="preserve">nies (ci-après: le Comité) la présente contribution </w:t>
      </w:r>
      <w:r w:rsidRPr="009F7A49">
        <w:rPr>
          <w:rFonts w:ascii="Gill Sans MT" w:hAnsi="Gill Sans MT"/>
          <w:sz w:val="24"/>
          <w:szCs w:val="24"/>
        </w:rPr>
        <w:t xml:space="preserve">en vue d’exprimer ses avis et ses recommandations relatifs à la situation des droits de l’enfant au Royaume du Maroc. </w:t>
      </w:r>
    </w:p>
    <w:p w:rsidR="009F7A49" w:rsidRPr="009F7A49" w:rsidRDefault="009F7A49" w:rsidP="009F7A49">
      <w:pPr>
        <w:autoSpaceDE w:val="0"/>
        <w:autoSpaceDN w:val="0"/>
        <w:adjustRightInd w:val="0"/>
        <w:jc w:val="both"/>
        <w:rPr>
          <w:rFonts w:ascii="Gill Sans MT" w:hAnsi="Gill Sans MT"/>
          <w:sz w:val="24"/>
          <w:szCs w:val="24"/>
        </w:rPr>
      </w:pPr>
      <w:r w:rsidRPr="009F7A49">
        <w:rPr>
          <w:rFonts w:ascii="Gill Sans MT" w:hAnsi="Gill Sans MT"/>
          <w:sz w:val="24"/>
          <w:szCs w:val="24"/>
        </w:rPr>
        <w:t xml:space="preserve">2. La présente contribution, basée sur une analyse du contexte national en référence aux dispositions de la Convention, a été élaborée à partir d’une observation </w:t>
      </w:r>
      <w:r w:rsidR="000E758D">
        <w:rPr>
          <w:rFonts w:ascii="Gill Sans MT" w:hAnsi="Gill Sans MT"/>
          <w:sz w:val="24"/>
          <w:szCs w:val="24"/>
        </w:rPr>
        <w:t>globale</w:t>
      </w:r>
      <w:r w:rsidR="000E758D" w:rsidRPr="009F7A49">
        <w:rPr>
          <w:rFonts w:ascii="Gill Sans MT" w:hAnsi="Gill Sans MT"/>
          <w:sz w:val="24"/>
          <w:szCs w:val="24"/>
        </w:rPr>
        <w:t xml:space="preserve"> </w:t>
      </w:r>
      <w:r w:rsidRPr="009F7A49">
        <w:rPr>
          <w:rFonts w:ascii="Gill Sans MT" w:hAnsi="Gill Sans MT"/>
          <w:sz w:val="24"/>
          <w:szCs w:val="24"/>
        </w:rPr>
        <w:t xml:space="preserve">et d’une </w:t>
      </w:r>
      <w:r w:rsidR="000E758D">
        <w:rPr>
          <w:rFonts w:ascii="Gill Sans MT" w:hAnsi="Gill Sans MT"/>
          <w:sz w:val="24"/>
          <w:szCs w:val="24"/>
        </w:rPr>
        <w:t>étude</w:t>
      </w:r>
      <w:r w:rsidR="000E758D" w:rsidRPr="009F7A49">
        <w:rPr>
          <w:rFonts w:ascii="Gill Sans MT" w:hAnsi="Gill Sans MT"/>
          <w:sz w:val="24"/>
          <w:szCs w:val="24"/>
        </w:rPr>
        <w:t xml:space="preserve"> </w:t>
      </w:r>
      <w:r w:rsidRPr="009F7A49">
        <w:rPr>
          <w:rFonts w:ascii="Gill Sans MT" w:hAnsi="Gill Sans MT"/>
          <w:sz w:val="24"/>
          <w:szCs w:val="24"/>
        </w:rPr>
        <w:t xml:space="preserve">documentaire élargie dont les principales sources sont les études et les rapports des investigations et des enquêtes thématiques du CNDH et </w:t>
      </w:r>
      <w:r w:rsidR="000E758D">
        <w:rPr>
          <w:rFonts w:ascii="Gill Sans MT" w:hAnsi="Gill Sans MT"/>
          <w:sz w:val="24"/>
          <w:szCs w:val="24"/>
        </w:rPr>
        <w:t xml:space="preserve">de </w:t>
      </w:r>
      <w:r w:rsidRPr="009F7A49">
        <w:rPr>
          <w:rFonts w:ascii="Gill Sans MT" w:hAnsi="Gill Sans MT"/>
          <w:sz w:val="24"/>
          <w:szCs w:val="24"/>
        </w:rPr>
        <w:t>ses partenaires</w:t>
      </w:r>
      <w:r w:rsidRPr="009F7A49">
        <w:rPr>
          <w:rStyle w:val="FootnoteReference"/>
          <w:rFonts w:ascii="Gill Sans MT" w:hAnsi="Gill Sans MT"/>
          <w:sz w:val="24"/>
          <w:szCs w:val="24"/>
        </w:rPr>
        <w:footnoteReference w:id="1"/>
      </w:r>
      <w:r w:rsidRPr="009F7A49">
        <w:rPr>
          <w:rFonts w:ascii="Gill Sans MT" w:hAnsi="Gill Sans MT"/>
          <w:sz w:val="24"/>
          <w:szCs w:val="24"/>
        </w:rPr>
        <w:t xml:space="preserve">. </w:t>
      </w:r>
      <w:r w:rsidR="000E758D">
        <w:rPr>
          <w:rFonts w:ascii="Gill Sans MT" w:hAnsi="Gill Sans MT"/>
          <w:sz w:val="24"/>
          <w:szCs w:val="24"/>
        </w:rPr>
        <w:t xml:space="preserve">Cette </w:t>
      </w:r>
      <w:r w:rsidR="000E758D" w:rsidRPr="009F7A49">
        <w:rPr>
          <w:rFonts w:ascii="Gill Sans MT" w:hAnsi="Gill Sans MT"/>
          <w:sz w:val="24"/>
          <w:szCs w:val="24"/>
        </w:rPr>
        <w:t xml:space="preserve"> </w:t>
      </w:r>
      <w:r w:rsidRPr="009F7A49">
        <w:rPr>
          <w:rFonts w:ascii="Gill Sans MT" w:hAnsi="Gill Sans MT"/>
          <w:sz w:val="24"/>
          <w:szCs w:val="24"/>
        </w:rPr>
        <w:t>contribution</w:t>
      </w:r>
      <w:r>
        <w:rPr>
          <w:rFonts w:ascii="Gill Sans MT" w:hAnsi="Gill Sans MT"/>
          <w:sz w:val="24"/>
          <w:szCs w:val="24"/>
        </w:rPr>
        <w:t xml:space="preserve"> </w:t>
      </w:r>
      <w:r w:rsidR="000E758D">
        <w:rPr>
          <w:rFonts w:ascii="Gill Sans MT" w:hAnsi="Gill Sans MT"/>
          <w:sz w:val="24"/>
          <w:szCs w:val="24"/>
        </w:rPr>
        <w:t>retrace</w:t>
      </w:r>
      <w:r w:rsidR="000E758D" w:rsidRPr="009F7A49">
        <w:rPr>
          <w:rFonts w:ascii="Gill Sans MT" w:hAnsi="Gill Sans MT"/>
          <w:sz w:val="24"/>
          <w:szCs w:val="24"/>
        </w:rPr>
        <w:t xml:space="preserve"> </w:t>
      </w:r>
      <w:r w:rsidRPr="009F7A49">
        <w:rPr>
          <w:rFonts w:ascii="Gill Sans MT" w:hAnsi="Gill Sans MT"/>
          <w:sz w:val="24"/>
          <w:szCs w:val="24"/>
        </w:rPr>
        <w:t xml:space="preserve">l’évolution de la situation des droits de l’enfant au Maroc depuis le dernier rapport périodique. </w:t>
      </w:r>
    </w:p>
    <w:p w:rsidR="009F7A49" w:rsidRPr="009F7A49" w:rsidRDefault="009F7A49" w:rsidP="009F7A49">
      <w:pPr>
        <w:autoSpaceDE w:val="0"/>
        <w:autoSpaceDN w:val="0"/>
        <w:adjustRightInd w:val="0"/>
        <w:jc w:val="both"/>
        <w:rPr>
          <w:rFonts w:ascii="Gill Sans MT" w:hAnsi="Gill Sans MT"/>
          <w:sz w:val="24"/>
          <w:szCs w:val="24"/>
        </w:rPr>
      </w:pPr>
      <w:r w:rsidRPr="009F7A49">
        <w:rPr>
          <w:rFonts w:ascii="Gill Sans MT" w:hAnsi="Gill Sans MT"/>
          <w:sz w:val="24"/>
          <w:szCs w:val="24"/>
        </w:rPr>
        <w:t>3. Le CNDH espère que cette contribution constituera un complément d’information pour le Comité des droits de l'enfant et l’objet d'un dialogue constructif et fructueux avec le gouvernement.</w:t>
      </w:r>
    </w:p>
    <w:p w:rsidR="009F7A49" w:rsidRPr="009F7A49" w:rsidRDefault="009F7A49" w:rsidP="009F7A49">
      <w:pPr>
        <w:autoSpaceDE w:val="0"/>
        <w:autoSpaceDN w:val="0"/>
        <w:adjustRightInd w:val="0"/>
        <w:jc w:val="both"/>
        <w:rPr>
          <w:rFonts w:ascii="Gill Sans MT" w:hAnsi="Gill Sans MT"/>
          <w:sz w:val="24"/>
          <w:szCs w:val="24"/>
        </w:rPr>
      </w:pPr>
      <w:r w:rsidRPr="009F7A49">
        <w:rPr>
          <w:rFonts w:ascii="Gill Sans MT" w:hAnsi="Gill Sans MT"/>
          <w:sz w:val="24"/>
          <w:szCs w:val="24"/>
        </w:rPr>
        <w:t>4. Le CNDH accueille avec satisfaction le troisième et le quatrième rapport périodique du gouvernement qui, dans l’ensemble, est élaboré sur la base d’une démarche participative, conformément aux directives concernant la forme et le contenu des rapports périodiques</w:t>
      </w:r>
      <w:r w:rsidR="000E758D">
        <w:rPr>
          <w:rFonts w:ascii="Gill Sans MT" w:hAnsi="Gill Sans MT"/>
          <w:sz w:val="24"/>
          <w:szCs w:val="24"/>
        </w:rPr>
        <w:t> ;</w:t>
      </w:r>
      <w:r w:rsidRPr="009F7A49">
        <w:rPr>
          <w:rFonts w:ascii="Gill Sans MT" w:hAnsi="Gill Sans MT"/>
          <w:sz w:val="24"/>
          <w:szCs w:val="24"/>
        </w:rPr>
        <w:t xml:space="preserve"> néanmoins il regrette la non implication des enfants dans le processus de son élaboration.</w:t>
      </w:r>
    </w:p>
    <w:p w:rsidR="009F7A49" w:rsidRPr="009F7A49" w:rsidRDefault="009F7A49" w:rsidP="002A7A10">
      <w:pPr>
        <w:autoSpaceDE w:val="0"/>
        <w:autoSpaceDN w:val="0"/>
        <w:adjustRightInd w:val="0"/>
        <w:jc w:val="both"/>
        <w:rPr>
          <w:rFonts w:ascii="Gill Sans MT" w:hAnsi="Gill Sans MT"/>
          <w:sz w:val="24"/>
          <w:szCs w:val="24"/>
          <w:lang w:bidi="ar-MA"/>
        </w:rPr>
      </w:pPr>
      <w:r w:rsidRPr="009F7A49">
        <w:rPr>
          <w:rFonts w:ascii="Gill Sans MT" w:hAnsi="Gill Sans MT"/>
          <w:sz w:val="24"/>
          <w:szCs w:val="24"/>
          <w:lang w:bidi="ar-MA"/>
        </w:rPr>
        <w:t>5. Le CNDH a déployé des efforts en matière de suivi  et de monitoring des droits de l’enfant. Dans cette perspective, il a procédé à la réalisation d’</w:t>
      </w:r>
      <w:r w:rsidRPr="009F7A49">
        <w:rPr>
          <w:rFonts w:ascii="Gill Sans MT" w:hAnsi="Gill Sans MT"/>
          <w:sz w:val="24"/>
          <w:szCs w:val="24"/>
        </w:rPr>
        <w:t xml:space="preserve">enquêtes, d’études thématiques et </w:t>
      </w:r>
      <w:r w:rsidRPr="009F7A49">
        <w:rPr>
          <w:rFonts w:ascii="Gill Sans MT" w:hAnsi="Gill Sans MT"/>
          <w:sz w:val="24"/>
          <w:szCs w:val="24"/>
          <w:lang w:bidi="ar-MA"/>
        </w:rPr>
        <w:t>de visites régulières dans des centres de sauvegarde de l’enfance, à l’organisation d’une série de rencontres et de débats et à l’examen des textes juridiques relatifs aux droits de l’enfant</w:t>
      </w:r>
      <w:r w:rsidRPr="009F7A49">
        <w:rPr>
          <w:rStyle w:val="FootnoteReference"/>
          <w:rFonts w:ascii="Gill Sans MT" w:hAnsi="Gill Sans MT"/>
          <w:sz w:val="24"/>
          <w:szCs w:val="24"/>
          <w:lang w:bidi="ar-MA"/>
        </w:rPr>
        <w:footnoteReference w:id="2"/>
      </w:r>
      <w:r w:rsidRPr="009F7A49">
        <w:rPr>
          <w:rFonts w:ascii="Gill Sans MT" w:hAnsi="Gill Sans MT"/>
          <w:sz w:val="24"/>
          <w:szCs w:val="24"/>
          <w:lang w:bidi="ar-MA"/>
        </w:rPr>
        <w:t xml:space="preserve">. </w:t>
      </w:r>
    </w:p>
    <w:p w:rsidR="009F7A49" w:rsidRDefault="009F7A49" w:rsidP="009F7A49">
      <w:pPr>
        <w:autoSpaceDE w:val="0"/>
        <w:autoSpaceDN w:val="0"/>
        <w:spacing w:after="0" w:line="240" w:lineRule="auto"/>
        <w:jc w:val="both"/>
        <w:rPr>
          <w:rFonts w:ascii="Gill Sans MT" w:hAnsi="Gill Sans MT" w:cs="Times New Roman"/>
          <w:sz w:val="24"/>
          <w:szCs w:val="24"/>
          <w:lang w:bidi="ar-MA"/>
        </w:rPr>
      </w:pPr>
      <w:r>
        <w:rPr>
          <w:rFonts w:ascii="Gill Sans MT" w:hAnsi="Gill Sans MT" w:cs="Times New Roman"/>
          <w:sz w:val="24"/>
          <w:szCs w:val="24"/>
          <w:lang w:bidi="ar-MA"/>
        </w:rPr>
        <w:lastRenderedPageBreak/>
        <w:t xml:space="preserve">6. </w:t>
      </w:r>
      <w:r w:rsidRPr="009F7A49">
        <w:rPr>
          <w:rFonts w:ascii="Gill Sans MT" w:hAnsi="Gill Sans MT" w:cs="Times New Roman"/>
          <w:sz w:val="24"/>
          <w:szCs w:val="24"/>
          <w:lang w:bidi="ar-MA"/>
        </w:rPr>
        <w:t xml:space="preserve">Le CNDH a plaidé pour la mise en place </w:t>
      </w:r>
      <w:r w:rsidR="000E758D">
        <w:rPr>
          <w:rFonts w:ascii="Gill Sans MT" w:hAnsi="Gill Sans MT" w:cs="Times New Roman"/>
          <w:sz w:val="24"/>
          <w:szCs w:val="24"/>
          <w:lang w:bidi="ar-MA"/>
        </w:rPr>
        <w:t>aussi rapidement que possible</w:t>
      </w:r>
      <w:r w:rsidRPr="009F7A49">
        <w:rPr>
          <w:rFonts w:ascii="Gill Sans MT" w:hAnsi="Gill Sans MT" w:cs="Times New Roman"/>
          <w:sz w:val="24"/>
          <w:szCs w:val="24"/>
          <w:lang w:bidi="ar-MA"/>
        </w:rPr>
        <w:t xml:space="preserve"> du mécanisme national de recours pour les enfants victimes de violation de leurs droits.</w:t>
      </w:r>
      <w:r w:rsidRPr="009F7A49">
        <w:rPr>
          <w:rFonts w:ascii="Gill Sans MT" w:hAnsi="Gill Sans MT"/>
          <w:sz w:val="24"/>
          <w:szCs w:val="24"/>
          <w:lang w:bidi="ar-MA"/>
        </w:rPr>
        <w:t xml:space="preserve"> </w:t>
      </w:r>
      <w:r w:rsidRPr="009F7A49">
        <w:rPr>
          <w:rFonts w:ascii="Gill Sans MT" w:hAnsi="Gill Sans MT" w:cs="Times New Roman"/>
          <w:sz w:val="24"/>
          <w:szCs w:val="24"/>
          <w:lang w:bidi="ar-MA"/>
        </w:rPr>
        <w:t>Par ailleurs, un plan d’action commun a été signé, en avril 2014, entre le CNDH et l’UNICEF qui fixe le cadre futur de la coopération entre ces deux institutions. Ce plan d’action prévoit une série d’activités dont  notamment, la mise en place et l’accompagnement du mécanisme de recours.</w:t>
      </w:r>
      <w:r w:rsidRPr="009F7A49">
        <w:rPr>
          <w:rFonts w:ascii="Gill Sans MT" w:hAnsi="Gill Sans MT"/>
          <w:sz w:val="24"/>
          <w:szCs w:val="24"/>
          <w:lang w:bidi="ar-MA"/>
        </w:rPr>
        <w:t xml:space="preserve"> </w:t>
      </w:r>
      <w:r w:rsidRPr="009F7A49">
        <w:rPr>
          <w:rFonts w:ascii="Gill Sans MT" w:hAnsi="Gill Sans MT" w:cs="Times New Roman"/>
          <w:sz w:val="24"/>
          <w:szCs w:val="24"/>
          <w:lang w:bidi="ar-MA"/>
        </w:rPr>
        <w:t>A noter que le C</w:t>
      </w:r>
      <w:r w:rsidR="000E758D">
        <w:rPr>
          <w:rFonts w:ascii="Gill Sans MT" w:hAnsi="Gill Sans MT" w:cs="Times New Roman"/>
          <w:sz w:val="24"/>
          <w:szCs w:val="24"/>
          <w:lang w:bidi="ar-MA"/>
        </w:rPr>
        <w:t>C</w:t>
      </w:r>
      <w:r w:rsidRPr="009F7A49">
        <w:rPr>
          <w:rFonts w:ascii="Gill Sans MT" w:hAnsi="Gill Sans MT" w:cs="Times New Roman"/>
          <w:sz w:val="24"/>
          <w:szCs w:val="24"/>
          <w:lang w:bidi="ar-MA"/>
        </w:rPr>
        <w:t xml:space="preserve">DH </w:t>
      </w:r>
      <w:r w:rsidR="000E758D">
        <w:rPr>
          <w:rFonts w:ascii="Gill Sans MT" w:hAnsi="Gill Sans MT" w:cs="Times New Roman"/>
          <w:sz w:val="24"/>
          <w:szCs w:val="24"/>
          <w:lang w:bidi="ar-MA"/>
        </w:rPr>
        <w:t xml:space="preserve">(ancienne dénomination de l’institution nationale) </w:t>
      </w:r>
      <w:r w:rsidRPr="009F7A49">
        <w:rPr>
          <w:rFonts w:ascii="Gill Sans MT" w:hAnsi="Gill Sans MT" w:cs="Times New Roman"/>
          <w:sz w:val="24"/>
          <w:szCs w:val="24"/>
          <w:lang w:bidi="ar-MA"/>
        </w:rPr>
        <w:t>a préparé en 2010 une étude</w:t>
      </w:r>
      <w:r w:rsidRPr="009F7A49">
        <w:rPr>
          <w:rStyle w:val="FootnoteReference"/>
          <w:rFonts w:ascii="Gill Sans MT" w:hAnsi="Gill Sans MT"/>
          <w:sz w:val="24"/>
          <w:szCs w:val="24"/>
          <w:lang w:bidi="ar-MA"/>
        </w:rPr>
        <w:footnoteReference w:id="3"/>
      </w:r>
      <w:r w:rsidRPr="009F7A49">
        <w:rPr>
          <w:rFonts w:ascii="Gill Sans MT" w:hAnsi="Gill Sans MT" w:cs="Times New Roman"/>
          <w:sz w:val="24"/>
          <w:szCs w:val="24"/>
          <w:lang w:bidi="ar-MA"/>
        </w:rPr>
        <w:t xml:space="preserve"> sur l’opportunité de mettre en place un mécanisme national de recours et de suivi en faveur des enfants victimes de violations. Deux modèles ont été proposés : un modèle intégré et un modèle séparé.</w:t>
      </w:r>
      <w:r w:rsidRPr="009F7A49">
        <w:rPr>
          <w:rFonts w:ascii="Gill Sans MT" w:hAnsi="Gill Sans MT"/>
          <w:sz w:val="24"/>
          <w:szCs w:val="24"/>
          <w:lang w:bidi="ar-MA"/>
        </w:rPr>
        <w:t xml:space="preserve"> </w:t>
      </w:r>
      <w:r w:rsidRPr="009F7A49">
        <w:rPr>
          <w:rFonts w:ascii="Gill Sans MT" w:hAnsi="Gill Sans MT" w:cs="Times New Roman"/>
          <w:sz w:val="24"/>
          <w:szCs w:val="24"/>
          <w:lang w:bidi="ar-MA"/>
        </w:rPr>
        <w:t xml:space="preserve">Le mécanisme de recours peut être intégré à l’une des structures suivantes, à condition qu’elle remplisse certaines conditions aussi bien légales que pratiques pour une conformité avec l’Observation générale </w:t>
      </w:r>
      <w:r w:rsidR="000E758D">
        <w:rPr>
          <w:rFonts w:ascii="Gill Sans MT" w:hAnsi="Gill Sans MT" w:cs="Times New Roman"/>
          <w:sz w:val="24"/>
          <w:szCs w:val="24"/>
          <w:lang w:bidi="ar-MA"/>
        </w:rPr>
        <w:t>N</w:t>
      </w:r>
      <w:r w:rsidRPr="009F7A49">
        <w:rPr>
          <w:rFonts w:ascii="Gill Sans MT" w:hAnsi="Gill Sans MT" w:cs="Times New Roman"/>
          <w:sz w:val="24"/>
          <w:szCs w:val="24"/>
          <w:lang w:bidi="ar-MA"/>
        </w:rPr>
        <w:t>° 2 du CRC</w:t>
      </w:r>
      <w:r w:rsidRPr="009F7A49">
        <w:rPr>
          <w:rFonts w:ascii="Gill Sans MT" w:hAnsi="Gill Sans MT"/>
          <w:sz w:val="24"/>
          <w:szCs w:val="24"/>
          <w:lang w:bidi="ar-MA"/>
        </w:rPr>
        <w:t xml:space="preserve">. </w:t>
      </w:r>
      <w:r w:rsidRPr="009F7A49">
        <w:rPr>
          <w:rFonts w:ascii="Gill Sans MT" w:hAnsi="Gill Sans MT" w:cs="Times New Roman"/>
          <w:sz w:val="24"/>
          <w:szCs w:val="24"/>
          <w:lang w:bidi="ar-MA"/>
        </w:rPr>
        <w:t>Il s’agit du Conseil national des droits de l'Homme, de l’Institution du Médiateur et de l’Observatoire National des Droits de l’Enfant. Il est aussi possible de prévoir la création d</w:t>
      </w:r>
      <w:r w:rsidR="000E758D">
        <w:rPr>
          <w:rFonts w:ascii="Gill Sans MT" w:hAnsi="Gill Sans MT" w:cs="Times New Roman"/>
          <w:sz w:val="24"/>
          <w:szCs w:val="24"/>
          <w:lang w:bidi="ar-MA"/>
        </w:rPr>
        <w:t>’un</w:t>
      </w:r>
      <w:r w:rsidRPr="009F7A49">
        <w:rPr>
          <w:rFonts w:ascii="Gill Sans MT" w:hAnsi="Gill Sans MT" w:cs="Times New Roman"/>
          <w:sz w:val="24"/>
          <w:szCs w:val="24"/>
          <w:lang w:bidi="ar-MA"/>
        </w:rPr>
        <w:t xml:space="preserve"> modèle séparé. Les principes de l’indépendance, de l’accessibilité, de la communication et de l’information doivent  être assurés dans ce cas. </w:t>
      </w:r>
    </w:p>
    <w:p w:rsidR="009F7A49" w:rsidRPr="009F7A49" w:rsidRDefault="009F7A49" w:rsidP="009F7A49">
      <w:pPr>
        <w:autoSpaceDE w:val="0"/>
        <w:autoSpaceDN w:val="0"/>
        <w:spacing w:after="0" w:line="240" w:lineRule="auto"/>
        <w:jc w:val="both"/>
        <w:rPr>
          <w:rFonts w:ascii="Gill Sans MT" w:hAnsi="Gill Sans MT" w:cs="Times New Roman"/>
          <w:sz w:val="24"/>
          <w:szCs w:val="24"/>
          <w:lang w:bidi="ar-MA"/>
        </w:rPr>
      </w:pPr>
    </w:p>
    <w:p w:rsidR="009F7A49" w:rsidRDefault="009F7A49" w:rsidP="009F7A49">
      <w:pPr>
        <w:pStyle w:val="Listecouleur-Accent11"/>
        <w:autoSpaceDE w:val="0"/>
        <w:autoSpaceDN w:val="0"/>
        <w:adjustRightInd w:val="0"/>
        <w:spacing w:after="0" w:line="240" w:lineRule="auto"/>
        <w:ind w:left="0"/>
        <w:jc w:val="both"/>
        <w:rPr>
          <w:rFonts w:ascii="Gill Sans MT" w:eastAsia="SimSun" w:hAnsi="Gill Sans MT"/>
          <w:sz w:val="24"/>
          <w:szCs w:val="24"/>
          <w:lang w:eastAsia="zh-CN" w:bidi="ar-MA"/>
        </w:rPr>
      </w:pPr>
      <w:r>
        <w:rPr>
          <w:rFonts w:ascii="Gill Sans MT" w:eastAsia="SimSun" w:hAnsi="Gill Sans MT"/>
          <w:sz w:val="24"/>
          <w:szCs w:val="24"/>
          <w:lang w:eastAsia="zh-CN" w:bidi="ar-MA"/>
        </w:rPr>
        <w:t>7</w:t>
      </w:r>
      <w:r w:rsidRPr="009F7A49">
        <w:rPr>
          <w:rFonts w:ascii="Gill Sans MT" w:eastAsia="SimSun" w:hAnsi="Gill Sans MT"/>
          <w:sz w:val="24"/>
          <w:szCs w:val="24"/>
          <w:lang w:eastAsia="zh-CN" w:bidi="ar-MA"/>
        </w:rPr>
        <w:t>. Le CNDH constate que divers ministères et services publics, de même que plusieurs ONG,  participent à la mise en œuvre de la Convention, à travers la mise en œuvre de : (i) politiques sectorielles et programmes visant à  généraliser l’inscription des enfants à l’état civil, à améliorer la santé de la mère et de l’enfant, à encourager et assurer la scolarisation, à lutter contre le travail des enfants, à  prévenir et protéger les enfants contre les abus et violence… ; (ii) politiques sociales visant à améliorer l’accès aux infrastructures et services sociaux de base pour les populations en situation de pauvreté ou de précarité , telles que l’Initiative Nationale pour le Développement Humain (INDH), le Régime d’assurance maladie pour les économiquement démunis (RAMED)</w:t>
      </w:r>
      <w:r w:rsidR="000E758D">
        <w:rPr>
          <w:rFonts w:ascii="Gill Sans MT" w:eastAsia="SimSun" w:hAnsi="Gill Sans MT"/>
          <w:sz w:val="24"/>
          <w:szCs w:val="24"/>
          <w:lang w:eastAsia="zh-CN" w:bidi="ar-MA"/>
        </w:rPr>
        <w:t xml:space="preserve">, </w:t>
      </w:r>
      <w:r w:rsidRPr="009F7A49">
        <w:rPr>
          <w:rFonts w:ascii="Gill Sans MT" w:eastAsia="SimSun" w:hAnsi="Gill Sans MT"/>
          <w:sz w:val="24"/>
          <w:szCs w:val="24"/>
          <w:lang w:eastAsia="zh-CN" w:bidi="ar-MA"/>
        </w:rPr>
        <w:t>…</w:t>
      </w:r>
    </w:p>
    <w:p w:rsidR="009F7A49" w:rsidRPr="009F7A49" w:rsidRDefault="009F7A49" w:rsidP="009F7A49">
      <w:pPr>
        <w:pStyle w:val="Listecouleur-Accent11"/>
        <w:autoSpaceDE w:val="0"/>
        <w:autoSpaceDN w:val="0"/>
        <w:adjustRightInd w:val="0"/>
        <w:spacing w:after="0" w:line="240" w:lineRule="auto"/>
        <w:ind w:left="0"/>
        <w:jc w:val="both"/>
        <w:rPr>
          <w:rFonts w:ascii="Gill Sans MT" w:eastAsia="SimSun" w:hAnsi="Gill Sans MT"/>
          <w:sz w:val="24"/>
          <w:szCs w:val="24"/>
          <w:lang w:eastAsia="zh-CN" w:bidi="ar-MA"/>
        </w:rPr>
      </w:pPr>
    </w:p>
    <w:p w:rsidR="009F7A49" w:rsidRPr="009F7A49" w:rsidRDefault="009F7A49" w:rsidP="009F7A49">
      <w:pPr>
        <w:autoSpaceDE w:val="0"/>
        <w:autoSpaceDN w:val="0"/>
        <w:adjustRightInd w:val="0"/>
        <w:jc w:val="both"/>
        <w:rPr>
          <w:rFonts w:ascii="Gill Sans MT" w:hAnsi="Gill Sans MT"/>
          <w:sz w:val="24"/>
          <w:szCs w:val="24"/>
          <w:lang w:bidi="ar-MA"/>
        </w:rPr>
      </w:pPr>
      <w:r>
        <w:rPr>
          <w:rFonts w:ascii="Gill Sans MT" w:hAnsi="Gill Sans MT"/>
          <w:sz w:val="24"/>
          <w:szCs w:val="24"/>
          <w:lang w:bidi="ar-MA"/>
        </w:rPr>
        <w:t>8</w:t>
      </w:r>
      <w:r w:rsidRPr="009F7A49">
        <w:rPr>
          <w:rFonts w:ascii="Gill Sans MT" w:hAnsi="Gill Sans MT"/>
          <w:sz w:val="24"/>
          <w:szCs w:val="24"/>
          <w:lang w:bidi="ar-MA"/>
        </w:rPr>
        <w:t>. Néanmoins, le CNDH  regrette qu’il n’existe pas de mécanismes  efficaces de coordination et d’évaluation périodique de la mise en œuvre des politiques et programmes. En effet, du fait de l’insuffisance de coordination et de synergie entre les divers acteurs, les actions restent très souvent  fragmentaires et sectorielles</w:t>
      </w:r>
      <w:r w:rsidR="000E758D">
        <w:rPr>
          <w:rFonts w:ascii="Gill Sans MT" w:hAnsi="Gill Sans MT"/>
          <w:sz w:val="24"/>
          <w:szCs w:val="24"/>
          <w:lang w:bidi="ar-MA"/>
        </w:rPr>
        <w:t xml:space="preserve"> </w:t>
      </w:r>
      <w:r w:rsidRPr="009F7A49">
        <w:rPr>
          <w:rFonts w:ascii="Gill Sans MT" w:hAnsi="Gill Sans MT"/>
          <w:sz w:val="24"/>
          <w:szCs w:val="24"/>
          <w:lang w:bidi="ar-MA"/>
        </w:rPr>
        <w:t xml:space="preserve">; leur qualité et leur continuité sont fortement compromises du fait du manque de ressources humaines qualifiées et spécialisées ainsi que de l’absence de référentiel et </w:t>
      </w:r>
      <w:r w:rsidR="000E758D">
        <w:rPr>
          <w:rFonts w:ascii="Gill Sans MT" w:hAnsi="Gill Sans MT"/>
          <w:sz w:val="24"/>
          <w:szCs w:val="24"/>
          <w:lang w:bidi="ar-MA"/>
        </w:rPr>
        <w:t xml:space="preserve">d’un </w:t>
      </w:r>
      <w:r w:rsidRPr="009F7A49">
        <w:rPr>
          <w:rFonts w:ascii="Gill Sans MT" w:hAnsi="Gill Sans MT"/>
          <w:sz w:val="24"/>
          <w:szCs w:val="24"/>
          <w:lang w:bidi="ar-MA"/>
        </w:rPr>
        <w:t>statut des travailleurs sociaux.</w:t>
      </w:r>
    </w:p>
    <w:p w:rsidR="009F7A49" w:rsidRPr="00AD7AEC" w:rsidRDefault="009F7A49" w:rsidP="00AD7AEC">
      <w:pPr>
        <w:jc w:val="both"/>
        <w:rPr>
          <w:rFonts w:ascii="Gill Sans MT" w:eastAsia="Times New Roman" w:hAnsi="Gill Sans MT"/>
          <w:iCs/>
          <w:sz w:val="24"/>
          <w:szCs w:val="24"/>
        </w:rPr>
      </w:pPr>
      <w:r>
        <w:rPr>
          <w:rFonts w:ascii="Gill Sans MT" w:hAnsi="Gill Sans MT"/>
          <w:sz w:val="24"/>
          <w:szCs w:val="24"/>
        </w:rPr>
        <w:t>9</w:t>
      </w:r>
      <w:r w:rsidRPr="009F7A49">
        <w:rPr>
          <w:rFonts w:ascii="Gill Sans MT" w:hAnsi="Gill Sans MT"/>
          <w:sz w:val="24"/>
          <w:szCs w:val="24"/>
        </w:rPr>
        <w:t>. Le CNDH salue les diverses mesures prises par le gouvernement pour renforcer la protection des droits de l’enfant</w:t>
      </w:r>
      <w:r w:rsidRPr="009F7A49">
        <w:rPr>
          <w:rFonts w:ascii="Gill Sans MT" w:hAnsi="Gill Sans MT"/>
          <w:sz w:val="24"/>
          <w:szCs w:val="24"/>
          <w:vertAlign w:val="superscript"/>
        </w:rPr>
        <w:footnoteReference w:id="4"/>
      </w:r>
      <w:r w:rsidRPr="009F7A49">
        <w:rPr>
          <w:rFonts w:ascii="Gill Sans MT" w:hAnsi="Gill Sans MT"/>
          <w:sz w:val="24"/>
          <w:szCs w:val="24"/>
        </w:rPr>
        <w:t xml:space="preserve"> et prend note avec satisfaction de la ratification d’un grand nombre de conventions et protocoles</w:t>
      </w:r>
      <w:r w:rsidRPr="009F7A49">
        <w:rPr>
          <w:rFonts w:ascii="Gill Sans MT" w:hAnsi="Gill Sans MT"/>
          <w:sz w:val="24"/>
          <w:szCs w:val="24"/>
          <w:vertAlign w:val="superscript"/>
        </w:rPr>
        <w:footnoteReference w:id="5"/>
      </w:r>
      <w:r w:rsidRPr="009F7A49">
        <w:rPr>
          <w:rFonts w:ascii="Gill Sans MT" w:hAnsi="Gill Sans MT"/>
          <w:sz w:val="24"/>
          <w:szCs w:val="24"/>
        </w:rPr>
        <w:t xml:space="preserve"> et des efforts déployés par le gouvernement pour </w:t>
      </w:r>
      <w:r w:rsidRPr="009F7A49">
        <w:rPr>
          <w:rFonts w:ascii="Gill Sans MT" w:hAnsi="Gill Sans MT"/>
          <w:sz w:val="24"/>
          <w:szCs w:val="24"/>
        </w:rPr>
        <w:lastRenderedPageBreak/>
        <w:t xml:space="preserve">harmoniser la législation nationale avec les principes et les dispositions de la Convention et </w:t>
      </w:r>
      <w:r w:rsidR="000E758D">
        <w:rPr>
          <w:rFonts w:ascii="Gill Sans MT" w:hAnsi="Gill Sans MT"/>
          <w:sz w:val="24"/>
          <w:szCs w:val="24"/>
        </w:rPr>
        <w:t xml:space="preserve">de </w:t>
      </w:r>
      <w:r w:rsidRPr="009F7A49">
        <w:rPr>
          <w:rFonts w:ascii="Gill Sans MT" w:hAnsi="Gill Sans MT"/>
          <w:sz w:val="24"/>
          <w:szCs w:val="24"/>
        </w:rPr>
        <w:t>ses Protocoles</w:t>
      </w:r>
      <w:r w:rsidRPr="009F7A49">
        <w:rPr>
          <w:rFonts w:ascii="Gill Sans MT" w:hAnsi="Gill Sans MT"/>
          <w:sz w:val="24"/>
          <w:szCs w:val="24"/>
          <w:vertAlign w:val="superscript"/>
        </w:rPr>
        <w:footnoteReference w:id="6"/>
      </w:r>
      <w:r w:rsidRPr="009F7A49">
        <w:rPr>
          <w:rFonts w:ascii="Gill Sans MT" w:hAnsi="Gill Sans MT"/>
          <w:sz w:val="24"/>
          <w:szCs w:val="24"/>
        </w:rPr>
        <w:t xml:space="preserve">. La réforme constitutionnelle de juillet 2011 a affirmé l’engagement du Royaume du Maroc </w:t>
      </w:r>
      <w:r w:rsidR="00A31082">
        <w:rPr>
          <w:rFonts w:ascii="Gill Sans MT" w:hAnsi="Gill Sans MT"/>
          <w:sz w:val="24"/>
          <w:szCs w:val="24"/>
        </w:rPr>
        <w:t>de</w:t>
      </w:r>
      <w:r w:rsidR="00A31082" w:rsidRPr="009F7A49">
        <w:rPr>
          <w:rFonts w:ascii="Gill Sans MT" w:hAnsi="Gill Sans MT"/>
          <w:sz w:val="24"/>
          <w:szCs w:val="24"/>
        </w:rPr>
        <w:t xml:space="preserve"> </w:t>
      </w:r>
      <w:r w:rsidRPr="009F7A49">
        <w:rPr>
          <w:rFonts w:ascii="Gill Sans MT" w:hAnsi="Gill Sans MT"/>
          <w:sz w:val="24"/>
          <w:szCs w:val="24"/>
        </w:rPr>
        <w:t xml:space="preserve">souscrire aux principes </w:t>
      </w:r>
      <w:r w:rsidRPr="009F7A49">
        <w:rPr>
          <w:rFonts w:ascii="Gill Sans MT" w:eastAsia="Times New Roman" w:hAnsi="Gill Sans MT"/>
          <w:sz w:val="24"/>
          <w:szCs w:val="24"/>
        </w:rPr>
        <w:t>des conventions ratifiées relatives aux droits de l’Homme et consacre les droits de l’enfant comme des droits constitutionnels</w:t>
      </w:r>
      <w:r w:rsidRPr="009F7A49">
        <w:rPr>
          <w:rFonts w:ascii="Gill Sans MT" w:hAnsi="Gill Sans MT"/>
          <w:iCs/>
          <w:sz w:val="24"/>
          <w:szCs w:val="24"/>
        </w:rPr>
        <w:t xml:space="preserve"> avec une attention particulière à la protection (articles 32, 34,169)</w:t>
      </w:r>
      <w:r w:rsidRPr="009F7A49">
        <w:rPr>
          <w:rFonts w:ascii="Gill Sans MT" w:eastAsia="Times New Roman" w:hAnsi="Gill Sans MT"/>
          <w:sz w:val="24"/>
          <w:szCs w:val="24"/>
        </w:rPr>
        <w:t xml:space="preserve">. </w:t>
      </w:r>
      <w:r w:rsidRPr="009F7A49">
        <w:rPr>
          <w:rFonts w:ascii="Gill Sans MT" w:hAnsi="Gill Sans MT"/>
          <w:sz w:val="24"/>
          <w:szCs w:val="24"/>
        </w:rPr>
        <w:t xml:space="preserve">Toutefois, le CNDH constate que la mise en œuvre  effective de ces </w:t>
      </w:r>
      <w:r w:rsidR="00A31082">
        <w:rPr>
          <w:rFonts w:ascii="Gill Sans MT" w:hAnsi="Gill Sans MT"/>
          <w:sz w:val="24"/>
          <w:szCs w:val="24"/>
        </w:rPr>
        <w:t>droits</w:t>
      </w:r>
      <w:r w:rsidR="00A31082" w:rsidRPr="009F7A49">
        <w:rPr>
          <w:rFonts w:ascii="Gill Sans MT" w:hAnsi="Gill Sans MT"/>
          <w:sz w:val="24"/>
          <w:szCs w:val="24"/>
        </w:rPr>
        <w:t xml:space="preserve"> </w:t>
      </w:r>
      <w:r w:rsidRPr="009F7A49">
        <w:rPr>
          <w:rFonts w:ascii="Gill Sans MT" w:hAnsi="Gill Sans MT"/>
          <w:sz w:val="24"/>
          <w:szCs w:val="24"/>
        </w:rPr>
        <w:t xml:space="preserve">reste insuffisante et que la justice n’est pas pleinement adaptée aux enfants, notamment en ce qui concerne l’accessibilité et la protection  aux/des enfants, surtout les plus vulnérables et leur participation au processus judiciaire, conformément aux standards internationaux requis en matière des </w:t>
      </w:r>
      <w:r w:rsidR="00A31082">
        <w:rPr>
          <w:rFonts w:ascii="Gill Sans MT" w:hAnsi="Gill Sans MT"/>
          <w:sz w:val="24"/>
          <w:szCs w:val="24"/>
        </w:rPr>
        <w:t>d</w:t>
      </w:r>
      <w:r w:rsidRPr="009F7A49">
        <w:rPr>
          <w:rFonts w:ascii="Gill Sans MT" w:hAnsi="Gill Sans MT"/>
          <w:sz w:val="24"/>
          <w:szCs w:val="24"/>
        </w:rPr>
        <w:t>roits de l’enfant.  Le CNDH a enregistré un</w:t>
      </w:r>
      <w:r w:rsidRPr="009F7A49">
        <w:rPr>
          <w:rFonts w:ascii="Gill Sans MT" w:eastAsia="Times New Roman" w:hAnsi="Gill Sans MT"/>
          <w:iCs/>
          <w:sz w:val="24"/>
          <w:szCs w:val="24"/>
        </w:rPr>
        <w:t xml:space="preserve"> fort recours au placement en institution et un manque au niveau d’alternatives à l’institutionnalisation et à la privation de liberté.</w:t>
      </w:r>
    </w:p>
    <w:p w:rsidR="009F7A49" w:rsidRPr="009F7A49" w:rsidRDefault="00AD7AEC" w:rsidP="00C304EF">
      <w:pPr>
        <w:jc w:val="both"/>
        <w:rPr>
          <w:rFonts w:ascii="Gill Sans MT" w:hAnsi="Gill Sans MT"/>
          <w:sz w:val="24"/>
          <w:szCs w:val="24"/>
        </w:rPr>
      </w:pPr>
      <w:r>
        <w:rPr>
          <w:rFonts w:ascii="Gill Sans MT" w:hAnsi="Gill Sans MT"/>
          <w:sz w:val="24"/>
          <w:szCs w:val="24"/>
        </w:rPr>
        <w:t>10</w:t>
      </w:r>
      <w:r w:rsidR="009F7A49" w:rsidRPr="009F7A49">
        <w:rPr>
          <w:rFonts w:ascii="Gill Sans MT" w:hAnsi="Gill Sans MT"/>
          <w:sz w:val="24"/>
          <w:szCs w:val="24"/>
        </w:rPr>
        <w:t>. Pour ce qui est du droit à la santé, malgré les progrès enregistrés par le système national de santé notamment en matière de réduction de la mortalité materno-infantile, le CNDH constate que l’accès des enfants aux soins demeure inéquitable et limité notamment pour les enfants issus de familles pauvres et /ou vivant dans les zones rurales et enclavées. Malgré la mise en place de la couverture maladie de base, le coût des soins et des médicaments  reste  relativement élevé et la distribution géographique est marquée par une inégalité de l’offre sanitaire. Si le taux de vaccination est  globalement satisfaisant</w:t>
      </w:r>
      <w:r w:rsidR="009F7A49" w:rsidRPr="009F7A49">
        <w:rPr>
          <w:rFonts w:ascii="Gill Sans MT" w:hAnsi="Gill Sans MT"/>
          <w:sz w:val="24"/>
          <w:szCs w:val="24"/>
          <w:vertAlign w:val="superscript"/>
        </w:rPr>
        <w:footnoteReference w:id="7"/>
      </w:r>
      <w:r w:rsidR="009F7A49" w:rsidRPr="009F7A49">
        <w:rPr>
          <w:rFonts w:ascii="Gill Sans MT" w:hAnsi="Gill Sans MT"/>
          <w:sz w:val="24"/>
          <w:szCs w:val="24"/>
        </w:rPr>
        <w:t xml:space="preserve">, le droit à la vie est fortement compromis et la mortalité infanto-juvénile reste relativement élevée ; sur 1000 naissances vivantes, 29 enfants meurent avant d’atteindre leur premier anniversaire </w:t>
      </w:r>
      <w:r w:rsidR="009F7A49" w:rsidRPr="009F7A49">
        <w:rPr>
          <w:rFonts w:ascii="Gill Sans MT" w:hAnsi="Gill Sans MT"/>
          <w:i/>
          <w:iCs/>
          <w:sz w:val="24"/>
          <w:szCs w:val="24"/>
        </w:rPr>
        <w:t>(</w:t>
      </w:r>
      <w:r w:rsidR="009F7A49" w:rsidRPr="00A31082">
        <w:rPr>
          <w:rFonts w:ascii="Gill Sans MT" w:hAnsi="Gill Sans MT"/>
          <w:iCs/>
          <w:sz w:val="24"/>
          <w:szCs w:val="24"/>
        </w:rPr>
        <w:t>22 durant le premier mois et 7 entre le premier mois et douzième mois</w:t>
      </w:r>
      <w:r w:rsidR="009F7A49" w:rsidRPr="009F7A49">
        <w:rPr>
          <w:rFonts w:ascii="Gill Sans MT" w:hAnsi="Gill Sans MT"/>
          <w:i/>
          <w:iCs/>
          <w:sz w:val="24"/>
          <w:szCs w:val="24"/>
        </w:rPr>
        <w:t xml:space="preserve">). </w:t>
      </w:r>
      <w:r w:rsidR="009F7A49" w:rsidRPr="009F7A49">
        <w:rPr>
          <w:rFonts w:ascii="Gill Sans MT" w:hAnsi="Gill Sans MT"/>
          <w:sz w:val="24"/>
          <w:szCs w:val="24"/>
        </w:rPr>
        <w:t>De plus, pour 1000 enfants âgés d’un an, 2 n’atteignent pas leur cinquième anniversaire. Les décès maternels et néonatals demeurent encore élevés et constitue</w:t>
      </w:r>
      <w:r w:rsidR="003F692D">
        <w:rPr>
          <w:rFonts w:ascii="Gill Sans MT" w:hAnsi="Gill Sans MT"/>
          <w:sz w:val="24"/>
          <w:szCs w:val="24"/>
        </w:rPr>
        <w:t>nt encore</w:t>
      </w:r>
      <w:r w:rsidR="009F7A49" w:rsidRPr="009F7A49">
        <w:rPr>
          <w:rFonts w:ascii="Gill Sans MT" w:hAnsi="Gill Sans MT"/>
          <w:sz w:val="24"/>
          <w:szCs w:val="24"/>
        </w:rPr>
        <w:t xml:space="preserve"> un important problème de santé publique</w:t>
      </w:r>
      <w:r w:rsidR="003F692D">
        <w:rPr>
          <w:rFonts w:ascii="Gill Sans MT" w:hAnsi="Gill Sans MT"/>
          <w:sz w:val="24"/>
          <w:szCs w:val="24"/>
        </w:rPr>
        <w:t>,</w:t>
      </w:r>
      <w:r w:rsidR="009F7A49" w:rsidRPr="009F7A49">
        <w:rPr>
          <w:rFonts w:ascii="Gill Sans MT" w:hAnsi="Gill Sans MT"/>
          <w:sz w:val="24"/>
          <w:szCs w:val="24"/>
        </w:rPr>
        <w:t xml:space="preserve"> en particulier dans les zones rurales et chez les populations les plus vulnérables.   Il convient de signaler également que la proportion d’enfants qui souffrent de malnutrition chronique est de l’ordre de 14,9 % (contre 18,1 % en 2004). Cette  proportion est plus importante en milieu rural qu’en milieu urbain (20,5 % contre 8,6 %)</w:t>
      </w:r>
      <w:r w:rsidR="0050062A">
        <w:rPr>
          <w:rFonts w:ascii="Gill Sans MT" w:hAnsi="Gill Sans MT"/>
          <w:sz w:val="24"/>
          <w:szCs w:val="24"/>
        </w:rPr>
        <w:t>.</w:t>
      </w:r>
    </w:p>
    <w:p w:rsidR="009F7A49" w:rsidRPr="009F7A49" w:rsidRDefault="009F7A49" w:rsidP="0050062A">
      <w:pPr>
        <w:autoSpaceDE w:val="0"/>
        <w:autoSpaceDN w:val="0"/>
        <w:adjustRightInd w:val="0"/>
        <w:jc w:val="both"/>
        <w:rPr>
          <w:rFonts w:ascii="Gill Sans MT" w:hAnsi="Gill Sans MT"/>
          <w:sz w:val="24"/>
          <w:szCs w:val="24"/>
        </w:rPr>
      </w:pPr>
      <w:r w:rsidRPr="009F7A49">
        <w:rPr>
          <w:rFonts w:ascii="Gill Sans MT" w:hAnsi="Gill Sans MT"/>
          <w:sz w:val="24"/>
          <w:szCs w:val="24"/>
        </w:rPr>
        <w:t>11. En ce qui concerne le droit à l’éducation, le CNDH salue les avancées enregistrées au niveau de la généralisation de l’accès des enfants marocains à la scolarisation</w:t>
      </w:r>
      <w:r w:rsidRPr="009F7A49">
        <w:rPr>
          <w:rFonts w:ascii="Gill Sans MT" w:hAnsi="Gill Sans MT"/>
          <w:sz w:val="24"/>
          <w:szCs w:val="24"/>
          <w:vertAlign w:val="superscript"/>
        </w:rPr>
        <w:footnoteReference w:id="8"/>
      </w:r>
      <w:r w:rsidR="003F692D">
        <w:rPr>
          <w:rFonts w:ascii="Gill Sans MT" w:hAnsi="Gill Sans MT"/>
          <w:sz w:val="24"/>
          <w:szCs w:val="24"/>
        </w:rPr>
        <w:t>,</w:t>
      </w:r>
      <w:r w:rsidRPr="009F7A49">
        <w:rPr>
          <w:rFonts w:ascii="Gill Sans MT" w:hAnsi="Gill Sans MT"/>
          <w:sz w:val="24"/>
          <w:szCs w:val="24"/>
        </w:rPr>
        <w:t xml:space="preserve"> grâce à une forte mobilisation des ressources humaines et financières au profit du secteur de l’éducation et aux progrès réels notamment au niveau de l’enseignement primaire. Cette période est marquée également par une ouverture graduelle du système éducatif marocain aux enfants migrants et réfugiés</w:t>
      </w:r>
      <w:r w:rsidRPr="009F7A49">
        <w:rPr>
          <w:rFonts w:ascii="Gill Sans MT" w:hAnsi="Gill Sans MT"/>
          <w:sz w:val="24"/>
          <w:szCs w:val="24"/>
          <w:vertAlign w:val="superscript"/>
        </w:rPr>
        <w:footnoteReference w:id="9"/>
      </w:r>
      <w:r w:rsidRPr="009F7A49">
        <w:rPr>
          <w:rFonts w:ascii="Gill Sans MT" w:hAnsi="Gill Sans MT"/>
          <w:sz w:val="24"/>
          <w:szCs w:val="24"/>
        </w:rPr>
        <w:t xml:space="preserve"> issus des pays </w:t>
      </w:r>
      <w:r w:rsidR="003F692D">
        <w:rPr>
          <w:rFonts w:ascii="Gill Sans MT" w:hAnsi="Gill Sans MT"/>
          <w:sz w:val="24"/>
          <w:szCs w:val="24"/>
        </w:rPr>
        <w:t>de l’Afrique</w:t>
      </w:r>
      <w:r w:rsidRPr="009F7A49">
        <w:rPr>
          <w:rFonts w:ascii="Gill Sans MT" w:hAnsi="Gill Sans MT"/>
          <w:sz w:val="24"/>
          <w:szCs w:val="24"/>
        </w:rPr>
        <w:t xml:space="preserve"> subsaharien</w:t>
      </w:r>
      <w:r w:rsidR="003F692D">
        <w:rPr>
          <w:rFonts w:ascii="Gill Sans MT" w:hAnsi="Gill Sans MT"/>
          <w:sz w:val="24"/>
          <w:szCs w:val="24"/>
        </w:rPr>
        <w:t>ne,</w:t>
      </w:r>
      <w:r w:rsidRPr="009F7A49">
        <w:rPr>
          <w:rFonts w:ascii="Gill Sans MT" w:hAnsi="Gill Sans MT"/>
          <w:sz w:val="24"/>
          <w:szCs w:val="24"/>
        </w:rPr>
        <w:t xml:space="preserve"> afin de leur permettre d’intégrer les établissements de l’éducation et de l’enseignement public et privé et de bénéficier de l’</w:t>
      </w:r>
      <w:r w:rsidR="003F692D">
        <w:rPr>
          <w:rFonts w:ascii="Gill Sans MT" w:hAnsi="Gill Sans MT"/>
          <w:sz w:val="24"/>
          <w:szCs w:val="24"/>
        </w:rPr>
        <w:t>é</w:t>
      </w:r>
      <w:r w:rsidRPr="009F7A49">
        <w:rPr>
          <w:rFonts w:ascii="Gill Sans MT" w:hAnsi="Gill Sans MT"/>
          <w:sz w:val="24"/>
          <w:szCs w:val="24"/>
        </w:rPr>
        <w:t xml:space="preserve">ducation </w:t>
      </w:r>
      <w:r w:rsidR="003F692D">
        <w:rPr>
          <w:rFonts w:ascii="Gill Sans MT" w:hAnsi="Gill Sans MT"/>
          <w:sz w:val="24"/>
          <w:szCs w:val="24"/>
        </w:rPr>
        <w:t>n</w:t>
      </w:r>
      <w:r w:rsidRPr="009F7A49">
        <w:rPr>
          <w:rFonts w:ascii="Gill Sans MT" w:hAnsi="Gill Sans MT"/>
          <w:sz w:val="24"/>
          <w:szCs w:val="24"/>
        </w:rPr>
        <w:t xml:space="preserve">on </w:t>
      </w:r>
      <w:r w:rsidR="003F692D">
        <w:rPr>
          <w:rFonts w:ascii="Gill Sans MT" w:hAnsi="Gill Sans MT"/>
          <w:sz w:val="24"/>
          <w:szCs w:val="24"/>
        </w:rPr>
        <w:t>f</w:t>
      </w:r>
      <w:r w:rsidRPr="009F7A49">
        <w:rPr>
          <w:rFonts w:ascii="Gill Sans MT" w:hAnsi="Gill Sans MT"/>
          <w:sz w:val="24"/>
          <w:szCs w:val="24"/>
        </w:rPr>
        <w:t>ormelle.</w:t>
      </w:r>
    </w:p>
    <w:p w:rsidR="009F7A49" w:rsidRPr="009F7A49" w:rsidRDefault="009F7A49" w:rsidP="00C304EF">
      <w:pPr>
        <w:jc w:val="both"/>
        <w:rPr>
          <w:rFonts w:ascii="Gill Sans MT" w:hAnsi="Gill Sans MT"/>
          <w:sz w:val="24"/>
          <w:szCs w:val="24"/>
        </w:rPr>
      </w:pPr>
      <w:r w:rsidRPr="009F7A49">
        <w:rPr>
          <w:rFonts w:ascii="Gill Sans MT" w:hAnsi="Gill Sans MT"/>
          <w:sz w:val="24"/>
          <w:szCs w:val="24"/>
        </w:rPr>
        <w:t>12. Cependant, l’analyse de la performance globale du système éducatif montre que de nombreuses difficultés persistent : l’accès à l’éducation de base reste incomplet et inéquitable et enregistre des disparités sociales et régionales et des taux relativement élevés d’abandon scolaire et de redoublement ; le préscolaire ne fait pas encore partie de l’enseignement fondamental obligatoire ; malgré l’augmentation des taux de scolarisation des filles, une discrimination genre persiste  en ce qui concerne le taux de scolarisation des filles dans le monde rural au niveau du collège qui se situe seulement à 57.8%, et à 18,8%  au secondaire</w:t>
      </w:r>
      <w:r w:rsidRPr="009F7A49">
        <w:rPr>
          <w:rStyle w:val="FootnoteReference"/>
          <w:rFonts w:ascii="Gill Sans MT" w:hAnsi="Gill Sans MT"/>
          <w:sz w:val="24"/>
          <w:szCs w:val="24"/>
        </w:rPr>
        <w:footnoteReference w:id="10"/>
      </w:r>
      <w:r w:rsidRPr="009F7A49">
        <w:rPr>
          <w:rFonts w:ascii="Gill Sans MT" w:hAnsi="Gill Sans MT"/>
          <w:sz w:val="24"/>
          <w:szCs w:val="24"/>
        </w:rPr>
        <w:t> ; l’accessibilité des enfants présentant un handicap reste très insuffisante du fait du manque de structures adaptées.</w:t>
      </w:r>
    </w:p>
    <w:p w:rsidR="009F7A49" w:rsidRPr="009F7A49" w:rsidRDefault="009F7A49" w:rsidP="00C304EF">
      <w:pPr>
        <w:jc w:val="both"/>
        <w:rPr>
          <w:rFonts w:ascii="Gill Sans MT" w:hAnsi="Gill Sans MT"/>
          <w:sz w:val="24"/>
          <w:szCs w:val="24"/>
        </w:rPr>
      </w:pPr>
      <w:r w:rsidRPr="009F7A49">
        <w:rPr>
          <w:rFonts w:ascii="Gill Sans MT" w:hAnsi="Gill Sans MT"/>
          <w:sz w:val="24"/>
          <w:szCs w:val="24"/>
        </w:rPr>
        <w:t>13. Le CNDH est préoccupé par la question de la qualité de l’éducation au Maroc. La qualité de l’éducation et le niveau de compétence sont relativement faibles : seulement 32% des élèves de la 4</w:t>
      </w:r>
      <w:r w:rsidRPr="009F7A49">
        <w:rPr>
          <w:rFonts w:ascii="Gill Sans MT" w:hAnsi="Gill Sans MT"/>
          <w:sz w:val="24"/>
          <w:szCs w:val="24"/>
          <w:vertAlign w:val="superscript"/>
        </w:rPr>
        <w:t>ème</w:t>
      </w:r>
      <w:r w:rsidRPr="009F7A49">
        <w:rPr>
          <w:rFonts w:ascii="Gill Sans MT" w:hAnsi="Gill Sans MT"/>
          <w:sz w:val="24"/>
          <w:szCs w:val="24"/>
        </w:rPr>
        <w:t xml:space="preserve"> année primaire maitrisent les acquis de base</w:t>
      </w:r>
      <w:r w:rsidR="008205F8">
        <w:rPr>
          <w:rStyle w:val="FootnoteReference"/>
          <w:rFonts w:ascii="Gill Sans MT" w:hAnsi="Gill Sans MT"/>
          <w:sz w:val="24"/>
          <w:szCs w:val="24"/>
        </w:rPr>
        <w:footnoteReference w:id="11"/>
      </w:r>
      <w:r w:rsidRPr="009F7A49">
        <w:rPr>
          <w:rFonts w:ascii="Gill Sans MT" w:hAnsi="Gill Sans MT"/>
          <w:sz w:val="24"/>
          <w:szCs w:val="24"/>
        </w:rPr>
        <w:t xml:space="preserve">. </w:t>
      </w:r>
    </w:p>
    <w:p w:rsidR="009F7A49" w:rsidRPr="009F7A49" w:rsidRDefault="002A7A10" w:rsidP="002A7A10">
      <w:pPr>
        <w:jc w:val="both"/>
        <w:rPr>
          <w:rFonts w:ascii="Gill Sans MT" w:hAnsi="Gill Sans MT"/>
          <w:sz w:val="24"/>
          <w:szCs w:val="24"/>
        </w:rPr>
      </w:pPr>
      <w:r>
        <w:rPr>
          <w:rFonts w:ascii="Gill Sans MT" w:hAnsi="Gill Sans MT"/>
          <w:sz w:val="24"/>
          <w:szCs w:val="24"/>
        </w:rPr>
        <w:t>14</w:t>
      </w:r>
      <w:r w:rsidR="009F7A49" w:rsidRPr="009F7A49">
        <w:rPr>
          <w:rFonts w:ascii="Gill Sans MT" w:hAnsi="Gill Sans MT"/>
          <w:sz w:val="24"/>
          <w:szCs w:val="24"/>
        </w:rPr>
        <w:t>. Le CNDH constate qu’il existe, en effet, une insuffisance avérée de signalement de violences et autres abus du fait de la crainte, de résistances culturelles, de  la nature clandestine et criminelle de certaines  formes de violence et d’exploitation des enfants, mais également une insuffisance de mécanismes de recours aisément accessibles aux enfants une méconnaissance des lois et procédures. La prise en charge, la réhabilitation et la réinsertion  des enfants victimes de violences, d’abus et d’exploitation restent insuffisantes</w:t>
      </w:r>
      <w:r w:rsidR="008205F8">
        <w:rPr>
          <w:rStyle w:val="FootnoteReference"/>
          <w:rFonts w:ascii="Gill Sans MT" w:hAnsi="Gill Sans MT"/>
          <w:sz w:val="24"/>
          <w:szCs w:val="24"/>
        </w:rPr>
        <w:footnoteReference w:id="12"/>
      </w:r>
      <w:r w:rsidR="009F7A49" w:rsidRPr="009F7A49">
        <w:rPr>
          <w:rFonts w:ascii="Gill Sans MT" w:hAnsi="Gill Sans MT"/>
          <w:sz w:val="24"/>
          <w:szCs w:val="24"/>
        </w:rPr>
        <w:t xml:space="preserve">.  </w:t>
      </w:r>
    </w:p>
    <w:p w:rsidR="009F7A49" w:rsidRPr="009F7A49" w:rsidRDefault="002A7A10" w:rsidP="000A1024">
      <w:pPr>
        <w:jc w:val="both"/>
        <w:rPr>
          <w:rFonts w:ascii="Gill Sans MT" w:hAnsi="Gill Sans MT"/>
          <w:sz w:val="24"/>
          <w:szCs w:val="24"/>
        </w:rPr>
      </w:pPr>
      <w:r>
        <w:rPr>
          <w:rFonts w:ascii="Gill Sans MT" w:hAnsi="Gill Sans MT"/>
          <w:sz w:val="24"/>
          <w:szCs w:val="24"/>
        </w:rPr>
        <w:t>15</w:t>
      </w:r>
      <w:r w:rsidR="009F7A49" w:rsidRPr="009F7A49">
        <w:rPr>
          <w:rFonts w:ascii="Gill Sans MT" w:hAnsi="Gill Sans MT"/>
          <w:sz w:val="24"/>
          <w:szCs w:val="24"/>
        </w:rPr>
        <w:t xml:space="preserve">. Le CNDH dénonce le fait qu’une forte proportion des mineurs privés de liberté dans les </w:t>
      </w:r>
      <w:r w:rsidR="000A1024" w:rsidRPr="009F7A49">
        <w:rPr>
          <w:rFonts w:ascii="Gill Sans MT" w:hAnsi="Gill Sans MT"/>
          <w:sz w:val="24"/>
          <w:szCs w:val="24"/>
          <w:lang w:bidi="ar-MA"/>
        </w:rPr>
        <w:t>centres de sauvegarde de l’enfance</w:t>
      </w:r>
      <w:r w:rsidR="000A1024" w:rsidRPr="009F7A49" w:rsidDel="000A1024">
        <w:rPr>
          <w:rFonts w:ascii="Gill Sans MT" w:hAnsi="Gill Sans MT"/>
          <w:sz w:val="24"/>
          <w:szCs w:val="24"/>
        </w:rPr>
        <w:t xml:space="preserve"> </w:t>
      </w:r>
      <w:r w:rsidR="000A1024">
        <w:rPr>
          <w:rFonts w:ascii="Gill Sans MT" w:hAnsi="Gill Sans MT"/>
          <w:sz w:val="24"/>
          <w:szCs w:val="24"/>
        </w:rPr>
        <w:t xml:space="preserve">et les établissements pénitentiaires </w:t>
      </w:r>
      <w:r w:rsidR="009F7A49" w:rsidRPr="009F7A49">
        <w:rPr>
          <w:rFonts w:ascii="Gill Sans MT" w:hAnsi="Gill Sans MT"/>
          <w:sz w:val="24"/>
          <w:szCs w:val="24"/>
        </w:rPr>
        <w:t>so</w:t>
      </w:r>
      <w:r w:rsidR="00945597">
        <w:rPr>
          <w:rFonts w:ascii="Gill Sans MT" w:hAnsi="Gill Sans MT"/>
          <w:sz w:val="24"/>
          <w:szCs w:val="24"/>
        </w:rPr>
        <w:t>n</w:t>
      </w:r>
      <w:r w:rsidR="009F7A49" w:rsidRPr="009F7A49">
        <w:rPr>
          <w:rFonts w:ascii="Gill Sans MT" w:hAnsi="Gill Sans MT"/>
          <w:sz w:val="24"/>
          <w:szCs w:val="24"/>
        </w:rPr>
        <w:t>t dans l’impossibilité de bénéficier de conditions de vie</w:t>
      </w:r>
      <w:r w:rsidR="00945597">
        <w:rPr>
          <w:rFonts w:ascii="Gill Sans MT" w:hAnsi="Gill Sans MT"/>
          <w:sz w:val="24"/>
          <w:szCs w:val="24"/>
        </w:rPr>
        <w:t xml:space="preserve"> satisfaisantes</w:t>
      </w:r>
      <w:r w:rsidR="009F7A49" w:rsidRPr="009F7A49">
        <w:rPr>
          <w:rFonts w:ascii="Gill Sans MT" w:hAnsi="Gill Sans MT"/>
          <w:sz w:val="24"/>
          <w:szCs w:val="24"/>
        </w:rPr>
        <w:t xml:space="preserve">, de ressources juridiques et de garanties légales auxquelles </w:t>
      </w:r>
      <w:r w:rsidR="00945597">
        <w:rPr>
          <w:rFonts w:ascii="Gill Sans MT" w:hAnsi="Gill Sans MT"/>
          <w:sz w:val="24"/>
          <w:szCs w:val="24"/>
        </w:rPr>
        <w:t>ils</w:t>
      </w:r>
      <w:r w:rsidR="00945597" w:rsidRPr="009F7A49">
        <w:rPr>
          <w:rFonts w:ascii="Gill Sans MT" w:hAnsi="Gill Sans MT"/>
          <w:sz w:val="24"/>
          <w:szCs w:val="24"/>
        </w:rPr>
        <w:t xml:space="preserve"> </w:t>
      </w:r>
      <w:r w:rsidR="009F7A49" w:rsidRPr="009F7A49">
        <w:rPr>
          <w:rFonts w:ascii="Gill Sans MT" w:hAnsi="Gill Sans MT"/>
          <w:sz w:val="24"/>
          <w:szCs w:val="24"/>
        </w:rPr>
        <w:t>ont droit pour garantir leur protection et leur intérêt supérieur et réaffirme la nécessité de la mise en place d’un dispositif alternatif à la privation de liberté et des mesures de remplacement de la détention des enfants en conflit avec la loi.</w:t>
      </w:r>
    </w:p>
    <w:p w:rsidR="009F7A49" w:rsidRDefault="002A7A10" w:rsidP="00C304EF">
      <w:pPr>
        <w:jc w:val="both"/>
        <w:rPr>
          <w:rFonts w:ascii="Gill Sans MT" w:hAnsi="Gill Sans MT"/>
          <w:sz w:val="24"/>
          <w:szCs w:val="24"/>
        </w:rPr>
      </w:pPr>
      <w:r>
        <w:rPr>
          <w:rFonts w:ascii="Gill Sans MT" w:hAnsi="Gill Sans MT"/>
          <w:sz w:val="24"/>
          <w:szCs w:val="24"/>
        </w:rPr>
        <w:t>16</w:t>
      </w:r>
      <w:r w:rsidR="009F7A49" w:rsidRPr="009F7A49">
        <w:rPr>
          <w:rFonts w:ascii="Gill Sans MT" w:hAnsi="Gill Sans MT"/>
          <w:sz w:val="24"/>
          <w:szCs w:val="24"/>
        </w:rPr>
        <w:t xml:space="preserve">. Le CNDH salue les diverses mesures prises par le gouvernement en vue de mettre en œuvre et de renforcer la protection des droits de l’enfant et note avec satisfaction l’implication d’une pluralité d’acteurs, y inclus les enfants à travers une consultation nationale,  dans le processus d’élaboration de la Politique Publique Intégrée de Protection qui a fait l’objet d’assises nationales en avril 2014.   </w:t>
      </w:r>
    </w:p>
    <w:p w:rsidR="002A7A10" w:rsidRPr="002A7A10" w:rsidRDefault="002A7A10" w:rsidP="002A7A10">
      <w:pPr>
        <w:jc w:val="both"/>
        <w:rPr>
          <w:rFonts w:ascii="Gill Sans MT" w:hAnsi="Gill Sans MT"/>
          <w:sz w:val="24"/>
          <w:szCs w:val="24"/>
        </w:rPr>
      </w:pPr>
      <w:r>
        <w:rPr>
          <w:rFonts w:ascii="Gill Sans MT" w:hAnsi="Gill Sans MT"/>
          <w:sz w:val="24"/>
          <w:szCs w:val="24"/>
        </w:rPr>
        <w:t xml:space="preserve">17. </w:t>
      </w:r>
      <w:r w:rsidRPr="002A7A10">
        <w:rPr>
          <w:rFonts w:ascii="Gill Sans MT" w:hAnsi="Gill Sans MT"/>
          <w:sz w:val="24"/>
          <w:szCs w:val="24"/>
        </w:rPr>
        <w:t>Le CNDH a élaboré un mémorandum sur le projet de loi relatif aux conditions d’emploi des travailleurs domestiques. Le CNDH, qui rappelle l’objectif de l’abolition effective du travail des enfants, recommande principalement de fixer l’âge minimum d’admission au travail domestique à 18 ans.</w:t>
      </w:r>
    </w:p>
    <w:p w:rsidR="002A7A10" w:rsidRPr="009F7A49" w:rsidRDefault="002A7A10" w:rsidP="00C304EF">
      <w:pPr>
        <w:jc w:val="both"/>
        <w:rPr>
          <w:rFonts w:ascii="Gill Sans MT" w:hAnsi="Gill Sans MT"/>
          <w:sz w:val="24"/>
          <w:szCs w:val="24"/>
        </w:rPr>
      </w:pPr>
    </w:p>
    <w:p w:rsidR="009F7A49" w:rsidRPr="009F7A49" w:rsidRDefault="002A7A10" w:rsidP="00C304EF">
      <w:pPr>
        <w:jc w:val="both"/>
        <w:rPr>
          <w:rFonts w:ascii="Gill Sans MT" w:hAnsi="Gill Sans MT"/>
          <w:sz w:val="24"/>
          <w:szCs w:val="24"/>
        </w:rPr>
      </w:pPr>
      <w:r>
        <w:rPr>
          <w:rFonts w:ascii="Gill Sans MT" w:hAnsi="Gill Sans MT"/>
          <w:sz w:val="24"/>
          <w:szCs w:val="24"/>
        </w:rPr>
        <w:t>18</w:t>
      </w:r>
      <w:r w:rsidR="009F7A49" w:rsidRPr="009F7A49">
        <w:rPr>
          <w:rFonts w:ascii="Gill Sans MT" w:hAnsi="Gill Sans MT"/>
          <w:sz w:val="24"/>
          <w:szCs w:val="24"/>
        </w:rPr>
        <w:t xml:space="preserve">. Saluant l’action de la société civile impliquée dans la protection des droits de l’enfant, le CNDH estime que l’implication active et concertée de </w:t>
      </w:r>
      <w:r w:rsidR="00945597">
        <w:rPr>
          <w:rFonts w:ascii="Gill Sans MT" w:hAnsi="Gill Sans MT"/>
          <w:sz w:val="24"/>
          <w:szCs w:val="24"/>
        </w:rPr>
        <w:t>la société civile</w:t>
      </w:r>
      <w:r w:rsidR="009F7A49" w:rsidRPr="009F7A49">
        <w:rPr>
          <w:rFonts w:ascii="Gill Sans MT" w:hAnsi="Gill Sans MT"/>
          <w:sz w:val="24"/>
          <w:szCs w:val="24"/>
        </w:rPr>
        <w:t xml:space="preserve"> est essentielle pour faire face aux violations. Il appelle à la mise en place d’une plateforme permanente de concertation entre les pouvoirs publics et la société civile, ainsi que le renforcement du partenariat pouvoirs publics/ONG, </w:t>
      </w:r>
    </w:p>
    <w:p w:rsidR="009F7A49" w:rsidRPr="009F7A49" w:rsidRDefault="002A7A10" w:rsidP="00C304EF">
      <w:pPr>
        <w:jc w:val="both"/>
        <w:rPr>
          <w:rFonts w:ascii="Gill Sans MT" w:hAnsi="Gill Sans MT"/>
          <w:color w:val="231F20"/>
          <w:sz w:val="24"/>
          <w:szCs w:val="24"/>
        </w:rPr>
      </w:pPr>
      <w:r>
        <w:rPr>
          <w:rFonts w:ascii="Gill Sans MT" w:hAnsi="Gill Sans MT"/>
          <w:sz w:val="24"/>
          <w:szCs w:val="24"/>
        </w:rPr>
        <w:t>19</w:t>
      </w:r>
      <w:r w:rsidR="009F7A49" w:rsidRPr="009F7A49">
        <w:rPr>
          <w:rFonts w:ascii="Gill Sans MT" w:hAnsi="Gill Sans MT"/>
          <w:sz w:val="24"/>
          <w:szCs w:val="24"/>
        </w:rPr>
        <w:t>. En ce qui concerne la participation des enfants, des efforts considérables ont été entrepris au niveau national afin de permettre aux  enfants et aux jeunes d’exprimer leurs opinions et avis sur les politiques et programmes les concernant (Parlement d’enfants, comités d’enfants</w:t>
      </w:r>
      <w:r w:rsidR="00945597">
        <w:rPr>
          <w:rFonts w:ascii="Gill Sans MT" w:hAnsi="Gill Sans MT"/>
          <w:sz w:val="24"/>
          <w:szCs w:val="24"/>
        </w:rPr>
        <w:t xml:space="preserve">, </w:t>
      </w:r>
      <w:r w:rsidR="009F7A49" w:rsidRPr="009F7A49">
        <w:rPr>
          <w:rFonts w:ascii="Gill Sans MT" w:hAnsi="Gill Sans MT"/>
          <w:sz w:val="24"/>
          <w:szCs w:val="24"/>
        </w:rPr>
        <w:t xml:space="preserve">…). Néanmoins l’accès  des enfants à une information aisément compréhensible, la systématisation de la  consultation des enfants dans toutes les affaires les concernant,  restent relativement insuffisants. </w:t>
      </w:r>
      <w:r w:rsidR="009F7A49" w:rsidRPr="009F7A49">
        <w:rPr>
          <w:rFonts w:ascii="Gill Sans MT" w:hAnsi="Gill Sans MT"/>
          <w:color w:val="231F20"/>
          <w:sz w:val="24"/>
          <w:szCs w:val="24"/>
        </w:rPr>
        <w:t>Des efforts devront être déployés afin d’améliorer la participation effective et active des enfants et d’encourager et soutenir les initiatives portées par les enfants et le jeunes.</w:t>
      </w:r>
    </w:p>
    <w:p w:rsidR="00FF5E51" w:rsidRPr="00156B9A" w:rsidRDefault="002A7A10" w:rsidP="00FF5E51">
      <w:pPr>
        <w:jc w:val="both"/>
        <w:rPr>
          <w:rFonts w:ascii="Gill Sans MT" w:hAnsi="Gill Sans MT" w:cs="Times New Roman"/>
          <w:sz w:val="24"/>
          <w:szCs w:val="24"/>
          <w:lang w:bidi="ar-MA"/>
        </w:rPr>
      </w:pPr>
      <w:r>
        <w:rPr>
          <w:rFonts w:ascii="Gill Sans MT" w:hAnsi="Gill Sans MT"/>
          <w:color w:val="231F20"/>
          <w:sz w:val="24"/>
          <w:szCs w:val="24"/>
        </w:rPr>
        <w:t>20</w:t>
      </w:r>
      <w:r w:rsidR="009F7A49" w:rsidRPr="009F7A49">
        <w:rPr>
          <w:rFonts w:ascii="Gill Sans MT" w:hAnsi="Gill Sans MT"/>
          <w:color w:val="231F20"/>
          <w:sz w:val="24"/>
          <w:szCs w:val="24"/>
        </w:rPr>
        <w:t xml:space="preserve">. </w:t>
      </w:r>
      <w:r w:rsidR="009F7A49" w:rsidRPr="00156B9A">
        <w:rPr>
          <w:rFonts w:ascii="Gill Sans MT" w:hAnsi="Gill Sans MT" w:cs="Times New Roman"/>
          <w:sz w:val="24"/>
          <w:szCs w:val="24"/>
          <w:lang w:bidi="ar-MA"/>
        </w:rPr>
        <w:t xml:space="preserve">Le CNDH relève avec inquiétude la courbe ascendante des mariages des mineurs (de moins de 18 ans). Ces mariages sont passés de 18.341 en 2004 à 35.152 en 2013, ce qui représente un défi par rapport  aux  droits des enfants à la scolarisation et aux engagements internationaux, particulièrement les dispositions de l’article 28 de la Convention. Il attire l’attention sur la conclusion d’un nombre important de ces mariages sur </w:t>
      </w:r>
      <w:r w:rsidR="00945597" w:rsidRPr="00156B9A">
        <w:rPr>
          <w:rFonts w:ascii="Gill Sans MT" w:hAnsi="Gill Sans MT" w:cs="Times New Roman"/>
          <w:sz w:val="24"/>
          <w:szCs w:val="24"/>
          <w:lang w:bidi="ar-MA"/>
        </w:rPr>
        <w:t>de manière traditionnelle</w:t>
      </w:r>
      <w:r w:rsidR="009F7A49" w:rsidRPr="00156B9A">
        <w:rPr>
          <w:rFonts w:ascii="Gill Sans MT" w:hAnsi="Gill Sans MT" w:cs="Times New Roman"/>
          <w:sz w:val="24"/>
          <w:szCs w:val="24"/>
          <w:lang w:bidi="ar-MA"/>
        </w:rPr>
        <w:t>, ce qui prive par la suite non seulement la femme de tous ces droits en tant qu’épouse mais aussi les enfants issus de ce mariage non contractuel.</w:t>
      </w:r>
    </w:p>
    <w:p w:rsidR="009F7A49" w:rsidRPr="00156B9A" w:rsidRDefault="002A7A10" w:rsidP="00FF5E51">
      <w:pPr>
        <w:jc w:val="both"/>
        <w:rPr>
          <w:rFonts w:ascii="Gill Sans MT" w:hAnsi="Gill Sans MT" w:cs="Times New Roman"/>
          <w:sz w:val="24"/>
          <w:szCs w:val="24"/>
          <w:lang w:bidi="ar-MA"/>
        </w:rPr>
      </w:pPr>
      <w:r>
        <w:rPr>
          <w:rFonts w:ascii="Gill Sans MT" w:hAnsi="Gill Sans MT" w:cs="Times New Roman"/>
          <w:sz w:val="24"/>
          <w:szCs w:val="24"/>
          <w:lang w:bidi="ar-MA"/>
        </w:rPr>
        <w:t>21</w:t>
      </w:r>
      <w:r w:rsidR="00FF5E51" w:rsidRPr="00156B9A">
        <w:rPr>
          <w:rFonts w:ascii="Gill Sans MT" w:hAnsi="Gill Sans MT" w:cs="Times New Roman"/>
          <w:sz w:val="24"/>
          <w:szCs w:val="24"/>
          <w:lang w:bidi="ar-MA"/>
        </w:rPr>
        <w:t xml:space="preserve">. </w:t>
      </w:r>
      <w:r w:rsidR="009F7A49" w:rsidRPr="00156B9A">
        <w:rPr>
          <w:rFonts w:ascii="Gill Sans MT" w:hAnsi="Gill Sans MT" w:cs="Times New Roman"/>
          <w:sz w:val="24"/>
          <w:szCs w:val="24"/>
          <w:lang w:bidi="ar-MA"/>
        </w:rPr>
        <w:t xml:space="preserve">Le CNDH a déployé des efforts pour contribuer à l’élimination de ce phénomène. Ainsi, une équipe d’investigation a été mise en place suite au suicide en 2013 d’une mineure et qui a été chargée entre autre de l’observation  du procès y afférent. Le CNDH a également </w:t>
      </w:r>
      <w:r w:rsidR="00945597" w:rsidRPr="00156B9A">
        <w:rPr>
          <w:rFonts w:ascii="Gill Sans MT" w:hAnsi="Gill Sans MT" w:cs="Times New Roman"/>
          <w:sz w:val="24"/>
          <w:szCs w:val="24"/>
          <w:lang w:bidi="ar-MA"/>
        </w:rPr>
        <w:t>contribué au</w:t>
      </w:r>
      <w:r w:rsidR="009F7A49" w:rsidRPr="00156B9A">
        <w:rPr>
          <w:rFonts w:ascii="Gill Sans MT" w:hAnsi="Gill Sans MT" w:cs="Times New Roman"/>
          <w:sz w:val="24"/>
          <w:szCs w:val="24"/>
          <w:lang w:bidi="ar-MA"/>
        </w:rPr>
        <w:t xml:space="preserve"> plaidoyer pour l’abrogation de l’Article 475 du Code pénal, qui permettait à l'auteur d'un viol d'échapper à la prison en épousant sa victime.</w:t>
      </w:r>
    </w:p>
    <w:p w:rsidR="009F7A49" w:rsidRPr="00156B9A" w:rsidRDefault="002A7A10" w:rsidP="00FF5E51">
      <w:pPr>
        <w:jc w:val="both"/>
        <w:rPr>
          <w:rFonts w:ascii="Gill Sans MT" w:hAnsi="Gill Sans MT" w:cs="Times New Roman"/>
          <w:sz w:val="24"/>
          <w:szCs w:val="24"/>
          <w:lang w:bidi="ar-MA"/>
        </w:rPr>
      </w:pPr>
      <w:r>
        <w:rPr>
          <w:rFonts w:ascii="Gill Sans MT" w:hAnsi="Gill Sans MT" w:cs="Times New Roman"/>
          <w:sz w:val="24"/>
          <w:szCs w:val="24"/>
          <w:lang w:bidi="ar-MA"/>
        </w:rPr>
        <w:t>22</w:t>
      </w:r>
      <w:r w:rsidR="00FF5E51" w:rsidRPr="00156B9A">
        <w:rPr>
          <w:rFonts w:ascii="Gill Sans MT" w:hAnsi="Gill Sans MT" w:cs="Times New Roman"/>
          <w:sz w:val="24"/>
          <w:szCs w:val="24"/>
          <w:lang w:bidi="ar-MA"/>
        </w:rPr>
        <w:t>. L</w:t>
      </w:r>
      <w:r w:rsidR="009F7A49" w:rsidRPr="00156B9A">
        <w:rPr>
          <w:rFonts w:ascii="Gill Sans MT" w:hAnsi="Gill Sans MT" w:cs="Times New Roman"/>
          <w:sz w:val="24"/>
          <w:szCs w:val="24"/>
          <w:lang w:bidi="ar-MA"/>
        </w:rPr>
        <w:t>e CNDH travaille actuellement sur un projet visant l’annulation de tout ce qui est contradictoire au principe de l'égalité entre les sexes dans le Code de la famille, y compris les articles prévoyant le mariage précoce et forcé.</w:t>
      </w:r>
    </w:p>
    <w:p w:rsidR="009F7A49" w:rsidRPr="00FF5E51" w:rsidRDefault="009F7A49" w:rsidP="009F7A49">
      <w:pPr>
        <w:jc w:val="both"/>
        <w:rPr>
          <w:rFonts w:ascii="Gill Sans MT" w:hAnsi="Gill Sans MT"/>
          <w:b/>
          <w:bCs/>
          <w:sz w:val="24"/>
          <w:szCs w:val="24"/>
        </w:rPr>
      </w:pPr>
      <w:r w:rsidRPr="00FF5E51">
        <w:rPr>
          <w:rFonts w:ascii="Gill Sans MT" w:hAnsi="Gill Sans MT"/>
          <w:b/>
          <w:bCs/>
          <w:sz w:val="24"/>
          <w:szCs w:val="24"/>
        </w:rPr>
        <w:t>2</w:t>
      </w:r>
      <w:r w:rsidR="002A7A10">
        <w:rPr>
          <w:rFonts w:ascii="Gill Sans MT" w:hAnsi="Gill Sans MT"/>
          <w:b/>
          <w:bCs/>
          <w:sz w:val="24"/>
          <w:szCs w:val="24"/>
        </w:rPr>
        <w:t>3</w:t>
      </w:r>
      <w:r w:rsidR="00FF5E51" w:rsidRPr="00FF5E51">
        <w:rPr>
          <w:rFonts w:ascii="Gill Sans MT" w:hAnsi="Gill Sans MT"/>
          <w:b/>
          <w:bCs/>
          <w:sz w:val="24"/>
          <w:szCs w:val="24"/>
        </w:rPr>
        <w:t>.</w:t>
      </w:r>
      <w:r w:rsidRPr="00FF5E51">
        <w:rPr>
          <w:rFonts w:ascii="Gill Sans MT" w:hAnsi="Gill Sans MT"/>
          <w:b/>
          <w:bCs/>
          <w:sz w:val="24"/>
          <w:szCs w:val="24"/>
        </w:rPr>
        <w:t xml:space="preserve"> Le CNDH recommande au gouvernement l’adoption des mesures suivantes :</w:t>
      </w:r>
    </w:p>
    <w:p w:rsidR="00FF5E51" w:rsidRPr="00156B9A" w:rsidRDefault="00FF5E51" w:rsidP="00FF5E51">
      <w:pPr>
        <w:numPr>
          <w:ilvl w:val="0"/>
          <w:numId w:val="1"/>
        </w:numPr>
        <w:spacing w:after="0" w:line="240" w:lineRule="auto"/>
        <w:jc w:val="both"/>
        <w:rPr>
          <w:rFonts w:ascii="Gill Sans MT" w:hAnsi="Gill Sans MT" w:cs="Times New Roman"/>
          <w:sz w:val="24"/>
          <w:szCs w:val="24"/>
          <w:lang w:bidi="ar-MA"/>
        </w:rPr>
      </w:pPr>
      <w:r w:rsidRPr="00156B9A">
        <w:rPr>
          <w:rFonts w:ascii="Gill Sans MT" w:hAnsi="Gill Sans MT" w:cs="Times New Roman"/>
          <w:sz w:val="24"/>
          <w:szCs w:val="24"/>
          <w:lang w:bidi="ar-MA"/>
        </w:rPr>
        <w:t xml:space="preserve">La mise en œuvre effective de la Politique </w:t>
      </w:r>
      <w:r w:rsidR="00D336D4" w:rsidRPr="00156B9A">
        <w:rPr>
          <w:rFonts w:ascii="Gill Sans MT" w:hAnsi="Gill Sans MT" w:cs="Times New Roman"/>
          <w:sz w:val="24"/>
          <w:szCs w:val="24"/>
          <w:lang w:bidi="ar-MA"/>
        </w:rPr>
        <w:t>p</w:t>
      </w:r>
      <w:r w:rsidRPr="00156B9A">
        <w:rPr>
          <w:rFonts w:ascii="Gill Sans MT" w:hAnsi="Gill Sans MT" w:cs="Times New Roman"/>
          <w:sz w:val="24"/>
          <w:szCs w:val="24"/>
          <w:lang w:bidi="ar-MA"/>
        </w:rPr>
        <w:t xml:space="preserve">ublique intégrée de </w:t>
      </w:r>
      <w:r w:rsidR="00D336D4" w:rsidRPr="00156B9A">
        <w:rPr>
          <w:rFonts w:ascii="Gill Sans MT" w:hAnsi="Gill Sans MT" w:cs="Times New Roman"/>
          <w:sz w:val="24"/>
          <w:szCs w:val="24"/>
          <w:lang w:bidi="ar-MA"/>
        </w:rPr>
        <w:t>p</w:t>
      </w:r>
      <w:r w:rsidRPr="00156B9A">
        <w:rPr>
          <w:rFonts w:ascii="Gill Sans MT" w:hAnsi="Gill Sans MT" w:cs="Times New Roman"/>
          <w:sz w:val="24"/>
          <w:szCs w:val="24"/>
          <w:lang w:bidi="ar-MA"/>
        </w:rPr>
        <w:t>rotection de l’enfance, récemment élaborée ; l’intégration de la dimension protection des enfants et de leurs droits dans les  politiques sectorielles (santé, éducation, justice, social</w:t>
      </w:r>
      <w:r w:rsidR="00945597" w:rsidRPr="00156B9A">
        <w:rPr>
          <w:rFonts w:ascii="Gill Sans MT" w:hAnsi="Gill Sans MT" w:cs="Times New Roman"/>
          <w:sz w:val="24"/>
          <w:szCs w:val="24"/>
          <w:lang w:bidi="ar-MA"/>
        </w:rPr>
        <w:t>,</w:t>
      </w:r>
      <w:r w:rsidRPr="00156B9A">
        <w:rPr>
          <w:rFonts w:ascii="Gill Sans MT" w:hAnsi="Gill Sans MT" w:cs="Times New Roman"/>
          <w:sz w:val="24"/>
          <w:szCs w:val="24"/>
          <w:lang w:bidi="ar-MA"/>
        </w:rPr>
        <w:t xml:space="preserve"> …) et les politiques locales, afin de garantir un meilleur accès des enfants, et notamment les plus vulnérables, à l’éducation, </w:t>
      </w:r>
      <w:r w:rsidR="00D336D4" w:rsidRPr="00156B9A">
        <w:rPr>
          <w:rFonts w:ascii="Gill Sans MT" w:hAnsi="Gill Sans MT" w:cs="Times New Roman"/>
          <w:sz w:val="24"/>
          <w:szCs w:val="24"/>
          <w:lang w:bidi="ar-MA"/>
        </w:rPr>
        <w:t xml:space="preserve">à </w:t>
      </w:r>
      <w:r w:rsidRPr="00156B9A">
        <w:rPr>
          <w:rFonts w:ascii="Gill Sans MT" w:hAnsi="Gill Sans MT" w:cs="Times New Roman"/>
          <w:sz w:val="24"/>
          <w:szCs w:val="24"/>
          <w:lang w:bidi="ar-MA"/>
        </w:rPr>
        <w:t>la santé, aux loisirs, à la protection</w:t>
      </w:r>
      <w:r w:rsidR="00D336D4" w:rsidRPr="00156B9A">
        <w:rPr>
          <w:rFonts w:ascii="Gill Sans MT" w:hAnsi="Gill Sans MT" w:cs="Times New Roman"/>
          <w:sz w:val="24"/>
          <w:szCs w:val="24"/>
          <w:lang w:bidi="ar-MA"/>
        </w:rPr>
        <w:t xml:space="preserve"> </w:t>
      </w:r>
      <w:r w:rsidRPr="00156B9A">
        <w:rPr>
          <w:rFonts w:ascii="Gill Sans MT" w:hAnsi="Gill Sans MT" w:cs="Times New Roman"/>
          <w:sz w:val="24"/>
          <w:szCs w:val="24"/>
          <w:lang w:bidi="ar-MA"/>
        </w:rPr>
        <w:t>;</w:t>
      </w:r>
    </w:p>
    <w:p w:rsidR="00F867F3" w:rsidRPr="00156B9A" w:rsidRDefault="00F867F3" w:rsidP="00F867F3">
      <w:pPr>
        <w:spacing w:after="0" w:line="240" w:lineRule="auto"/>
        <w:ind w:left="720"/>
        <w:jc w:val="both"/>
        <w:rPr>
          <w:rFonts w:ascii="Gill Sans MT" w:hAnsi="Gill Sans MT" w:cs="Times New Roman"/>
          <w:sz w:val="24"/>
          <w:szCs w:val="24"/>
          <w:lang w:bidi="ar-MA"/>
        </w:rPr>
      </w:pPr>
    </w:p>
    <w:p w:rsidR="00F867F3" w:rsidRDefault="00FF5E51" w:rsidP="002A7A10">
      <w:pPr>
        <w:spacing w:after="0" w:line="240" w:lineRule="auto"/>
        <w:ind w:left="720"/>
        <w:jc w:val="both"/>
        <w:rPr>
          <w:rFonts w:ascii="Gill Sans MT" w:hAnsi="Gill Sans MT" w:cs="Times New Roman"/>
          <w:sz w:val="24"/>
          <w:szCs w:val="24"/>
          <w:lang w:bidi="ar-MA"/>
        </w:rPr>
      </w:pPr>
      <w:r w:rsidRPr="00156B9A">
        <w:rPr>
          <w:rFonts w:ascii="Gill Sans MT" w:hAnsi="Gill Sans MT" w:cs="Times New Roman"/>
          <w:sz w:val="24"/>
          <w:szCs w:val="24"/>
          <w:lang w:bidi="ar-MA"/>
        </w:rPr>
        <w:t xml:space="preserve">La révision de toute la législation pertinente afin d’en assurer la pleine conformité avec </w:t>
      </w:r>
      <w:r w:rsidR="00D336D4" w:rsidRPr="00156B9A">
        <w:rPr>
          <w:rFonts w:ascii="Gill Sans MT" w:hAnsi="Gill Sans MT" w:cs="Times New Roman"/>
          <w:sz w:val="24"/>
          <w:szCs w:val="24"/>
          <w:lang w:bidi="ar-MA"/>
        </w:rPr>
        <w:t xml:space="preserve">les </w:t>
      </w:r>
      <w:r w:rsidRPr="00156B9A">
        <w:rPr>
          <w:rFonts w:ascii="Gill Sans MT" w:hAnsi="Gill Sans MT" w:cs="Times New Roman"/>
          <w:sz w:val="24"/>
          <w:szCs w:val="24"/>
          <w:lang w:bidi="ar-MA"/>
        </w:rPr>
        <w:t>conventions internationales auxquelles le Maroc est partie, le  principe de l’intérêt supérieur de l’enfant en étant la considération primordiale</w:t>
      </w:r>
      <w:r w:rsidR="00D336D4" w:rsidRPr="00156B9A">
        <w:rPr>
          <w:rFonts w:ascii="Gill Sans MT" w:hAnsi="Gill Sans MT" w:cs="Times New Roman"/>
          <w:sz w:val="24"/>
          <w:szCs w:val="24"/>
          <w:lang w:bidi="ar-MA"/>
        </w:rPr>
        <w:t xml:space="preserve"> </w:t>
      </w:r>
      <w:r w:rsidRPr="00156B9A">
        <w:rPr>
          <w:rFonts w:ascii="Gill Sans MT" w:hAnsi="Gill Sans MT" w:cs="Times New Roman"/>
          <w:sz w:val="24"/>
          <w:szCs w:val="24"/>
          <w:lang w:bidi="ar-MA"/>
        </w:rPr>
        <w:t xml:space="preserve">; </w:t>
      </w:r>
      <w:r w:rsidR="00D336D4" w:rsidRPr="00156B9A">
        <w:rPr>
          <w:rFonts w:ascii="Gill Sans MT" w:hAnsi="Gill Sans MT" w:cs="Times New Roman"/>
          <w:sz w:val="24"/>
          <w:szCs w:val="24"/>
          <w:lang w:bidi="ar-MA"/>
        </w:rPr>
        <w:t xml:space="preserve">la </w:t>
      </w:r>
      <w:r w:rsidR="00F867F3" w:rsidRPr="00156B9A">
        <w:rPr>
          <w:rFonts w:ascii="Gill Sans MT" w:hAnsi="Gill Sans MT" w:cs="Times New Roman"/>
          <w:sz w:val="24"/>
          <w:szCs w:val="24"/>
          <w:lang w:bidi="ar-MA"/>
        </w:rPr>
        <w:t xml:space="preserve">modification des articles 20 et 21 du Code de la famille autorisant les mariages forcés, et son harmonisation avec </w:t>
      </w:r>
      <w:r w:rsidR="00D336D4" w:rsidRPr="00156B9A">
        <w:rPr>
          <w:rFonts w:ascii="Gill Sans MT" w:hAnsi="Gill Sans MT" w:cs="Times New Roman"/>
          <w:sz w:val="24"/>
          <w:szCs w:val="24"/>
          <w:lang w:bidi="ar-MA"/>
        </w:rPr>
        <w:t xml:space="preserve">la Constitution  et </w:t>
      </w:r>
      <w:r w:rsidR="00F867F3" w:rsidRPr="00156B9A">
        <w:rPr>
          <w:rFonts w:ascii="Gill Sans MT" w:hAnsi="Gill Sans MT" w:cs="Times New Roman"/>
          <w:sz w:val="24"/>
          <w:szCs w:val="24"/>
          <w:lang w:bidi="ar-MA"/>
        </w:rPr>
        <w:t>les normes internationales ;</w:t>
      </w:r>
      <w:r w:rsidR="002A7A10">
        <w:rPr>
          <w:rFonts w:ascii="Gill Sans MT" w:hAnsi="Gill Sans MT" w:cs="Times New Roman"/>
          <w:sz w:val="24"/>
          <w:szCs w:val="24"/>
          <w:lang w:bidi="ar-MA"/>
        </w:rPr>
        <w:t xml:space="preserve"> </w:t>
      </w:r>
      <w:r w:rsidR="002A7A10">
        <w:rPr>
          <w:rFonts w:ascii="Gill Sans MT" w:hAnsi="Gill Sans MT"/>
          <w:sz w:val="24"/>
          <w:szCs w:val="24"/>
        </w:rPr>
        <w:t>la fixation de</w:t>
      </w:r>
      <w:r w:rsidR="002A7A10" w:rsidRPr="002A7A10">
        <w:rPr>
          <w:rFonts w:ascii="Gill Sans MT" w:hAnsi="Gill Sans MT"/>
          <w:sz w:val="24"/>
          <w:szCs w:val="24"/>
        </w:rPr>
        <w:t xml:space="preserve"> l’âge minimum d’admission au travail domestique à 18 ans</w:t>
      </w:r>
      <w:r w:rsidR="002A7A10">
        <w:rPr>
          <w:rFonts w:ascii="Gill Sans MT" w:hAnsi="Gill Sans MT"/>
          <w:sz w:val="24"/>
          <w:szCs w:val="24"/>
        </w:rPr>
        <w:t> ;</w:t>
      </w:r>
    </w:p>
    <w:p w:rsidR="004F25ED" w:rsidRPr="004F25ED" w:rsidRDefault="004F25ED" w:rsidP="004F25ED">
      <w:pPr>
        <w:spacing w:after="0" w:line="240" w:lineRule="auto"/>
        <w:ind w:left="720"/>
        <w:jc w:val="both"/>
        <w:rPr>
          <w:rFonts w:ascii="Gill Sans MT" w:hAnsi="Gill Sans MT" w:cs="Times New Roman"/>
          <w:sz w:val="24"/>
          <w:szCs w:val="24"/>
          <w:lang w:bidi="ar-MA"/>
        </w:rPr>
      </w:pPr>
    </w:p>
    <w:p w:rsidR="00F867F3" w:rsidRPr="00156B9A" w:rsidRDefault="00F867F3" w:rsidP="00F867F3">
      <w:pPr>
        <w:numPr>
          <w:ilvl w:val="0"/>
          <w:numId w:val="1"/>
        </w:numPr>
        <w:spacing w:after="0" w:line="240" w:lineRule="auto"/>
        <w:jc w:val="both"/>
        <w:rPr>
          <w:rFonts w:ascii="Gill Sans MT" w:hAnsi="Gill Sans MT" w:cs="Times New Roman"/>
          <w:sz w:val="24"/>
          <w:szCs w:val="24"/>
          <w:lang w:bidi="ar-MA"/>
        </w:rPr>
      </w:pPr>
      <w:r w:rsidRPr="00156B9A">
        <w:rPr>
          <w:rFonts w:ascii="Gill Sans MT" w:hAnsi="Gill Sans MT" w:cs="Times New Roman"/>
          <w:sz w:val="24"/>
          <w:szCs w:val="24"/>
          <w:lang w:bidi="ar-MA"/>
        </w:rPr>
        <w:t>La mise en place d’une justice adaptée aux enfants, conformément aux standards internationaux, notamment en ce qui concerne l’accessibilité, la participation de l’enfant au processus judiciaire et les alternatives au placement et à la privation de liberté ;</w:t>
      </w:r>
    </w:p>
    <w:p w:rsidR="00F867F3" w:rsidRPr="00156B9A" w:rsidRDefault="00F867F3" w:rsidP="00F867F3">
      <w:pPr>
        <w:spacing w:after="0" w:line="240" w:lineRule="auto"/>
        <w:jc w:val="both"/>
        <w:rPr>
          <w:rFonts w:ascii="Gill Sans MT" w:hAnsi="Gill Sans MT" w:cs="Times New Roman"/>
          <w:sz w:val="24"/>
          <w:szCs w:val="24"/>
          <w:lang w:bidi="ar-MA"/>
        </w:rPr>
      </w:pPr>
      <w:r w:rsidRPr="00156B9A">
        <w:rPr>
          <w:rFonts w:ascii="Gill Sans MT" w:hAnsi="Gill Sans MT" w:cs="Times New Roman"/>
          <w:sz w:val="24"/>
          <w:szCs w:val="24"/>
          <w:lang w:bidi="ar-MA"/>
        </w:rPr>
        <w:t xml:space="preserve">  </w:t>
      </w:r>
    </w:p>
    <w:p w:rsidR="00FF5E51" w:rsidRPr="00156B9A" w:rsidRDefault="00F867F3" w:rsidP="00F867F3">
      <w:pPr>
        <w:numPr>
          <w:ilvl w:val="0"/>
          <w:numId w:val="1"/>
        </w:numPr>
        <w:spacing w:after="0" w:line="240" w:lineRule="auto"/>
        <w:jc w:val="both"/>
        <w:rPr>
          <w:rFonts w:ascii="Gill Sans MT" w:hAnsi="Gill Sans MT" w:cs="Times New Roman"/>
          <w:sz w:val="24"/>
          <w:szCs w:val="24"/>
          <w:lang w:bidi="ar-MA"/>
        </w:rPr>
      </w:pPr>
      <w:r w:rsidRPr="00156B9A">
        <w:rPr>
          <w:rFonts w:ascii="Gill Sans MT" w:hAnsi="Gill Sans MT" w:cs="Times New Roman"/>
          <w:sz w:val="24"/>
          <w:szCs w:val="24"/>
          <w:lang w:bidi="ar-MA"/>
        </w:rPr>
        <w:t xml:space="preserve">L’accélération de la mise en place d’un mécanisme de recours indépendant aisément accessible pour tout enfant victime de violation de l’un de ses droits ainsi que la mise en place </w:t>
      </w:r>
      <w:r w:rsidR="00D336D4" w:rsidRPr="00156B9A">
        <w:rPr>
          <w:rFonts w:ascii="Gill Sans MT" w:hAnsi="Gill Sans MT" w:cs="Times New Roman"/>
          <w:sz w:val="24"/>
          <w:szCs w:val="24"/>
          <w:lang w:bidi="ar-MA"/>
        </w:rPr>
        <w:t xml:space="preserve">aussi rapide que possible </w:t>
      </w:r>
      <w:r w:rsidRPr="00156B9A">
        <w:rPr>
          <w:rFonts w:ascii="Gill Sans MT" w:hAnsi="Gill Sans MT" w:cs="Times New Roman"/>
          <w:sz w:val="24"/>
          <w:szCs w:val="24"/>
          <w:lang w:bidi="ar-MA"/>
        </w:rPr>
        <w:t>du Conseil consultatif de la famille et de l’enfance</w:t>
      </w:r>
      <w:r w:rsidR="00D336D4" w:rsidRPr="00156B9A">
        <w:rPr>
          <w:rFonts w:ascii="Gill Sans MT" w:hAnsi="Gill Sans MT" w:cs="Times New Roman"/>
          <w:sz w:val="24"/>
          <w:szCs w:val="24"/>
          <w:lang w:bidi="ar-MA"/>
        </w:rPr>
        <w:t xml:space="preserve"> </w:t>
      </w:r>
      <w:r w:rsidRPr="00156B9A">
        <w:rPr>
          <w:rFonts w:ascii="Gill Sans MT" w:hAnsi="Gill Sans MT" w:cs="Times New Roman"/>
          <w:sz w:val="24"/>
          <w:szCs w:val="24"/>
          <w:lang w:bidi="ar-MA"/>
        </w:rPr>
        <w:t>;</w:t>
      </w:r>
    </w:p>
    <w:p w:rsidR="00FF5E51" w:rsidRPr="00156B9A" w:rsidRDefault="00FF5E51" w:rsidP="00FF5E51">
      <w:pPr>
        <w:spacing w:after="0" w:line="240" w:lineRule="auto"/>
        <w:ind w:left="720"/>
        <w:jc w:val="both"/>
        <w:rPr>
          <w:rFonts w:ascii="Gill Sans MT" w:hAnsi="Gill Sans MT" w:cs="Times New Roman"/>
          <w:sz w:val="24"/>
          <w:szCs w:val="24"/>
          <w:lang w:bidi="ar-MA"/>
        </w:rPr>
      </w:pPr>
    </w:p>
    <w:p w:rsidR="00FF5E51" w:rsidRPr="002A7A10" w:rsidRDefault="00FF5E51" w:rsidP="002A7A10">
      <w:pPr>
        <w:pStyle w:val="Listecouleur-Accent11"/>
        <w:numPr>
          <w:ilvl w:val="0"/>
          <w:numId w:val="1"/>
        </w:numPr>
        <w:jc w:val="both"/>
        <w:rPr>
          <w:rFonts w:ascii="Gill Sans MT" w:hAnsi="Gill Sans MT"/>
          <w:sz w:val="24"/>
          <w:szCs w:val="24"/>
        </w:rPr>
      </w:pPr>
      <w:r>
        <w:rPr>
          <w:rFonts w:ascii="Gill Sans MT" w:hAnsi="Gill Sans MT"/>
          <w:sz w:val="24"/>
          <w:szCs w:val="24"/>
        </w:rPr>
        <w:t>La création d’</w:t>
      </w:r>
      <w:r w:rsidR="00C304EF" w:rsidRPr="009F7A49">
        <w:rPr>
          <w:rFonts w:ascii="Gill Sans MT" w:hAnsi="Gill Sans MT"/>
          <w:sz w:val="24"/>
          <w:szCs w:val="24"/>
        </w:rPr>
        <w:t>un environnement d’apprentissage efficace et attentif aux besoins et aux opinions des enfants sur la base de l’égalité des chances et sans discrimination</w:t>
      </w:r>
      <w:r w:rsidR="00AB31AF">
        <w:rPr>
          <w:rFonts w:ascii="Gill Sans MT" w:hAnsi="Gill Sans MT"/>
          <w:sz w:val="24"/>
          <w:szCs w:val="24"/>
        </w:rPr>
        <w:t xml:space="preserve"> (i)</w:t>
      </w:r>
      <w:r w:rsidR="00C304EF" w:rsidRPr="009F7A49">
        <w:rPr>
          <w:rFonts w:ascii="Gill Sans MT" w:hAnsi="Gill Sans MT"/>
          <w:sz w:val="24"/>
          <w:szCs w:val="24"/>
        </w:rPr>
        <w:t> ; considérer l’enfant comme acteur principal de son apprentissage et de son projet de vie et non seulement comme un simple réceptacle </w:t>
      </w:r>
      <w:r w:rsidR="00AB31AF" w:rsidRPr="009F7A49">
        <w:rPr>
          <w:rFonts w:ascii="Gill Sans MT" w:hAnsi="Gill Sans MT"/>
          <w:sz w:val="24"/>
          <w:szCs w:val="24"/>
        </w:rPr>
        <w:t>(ii)</w:t>
      </w:r>
      <w:r w:rsidR="00AB31AF">
        <w:rPr>
          <w:rFonts w:ascii="Gill Sans MT" w:hAnsi="Gill Sans MT"/>
          <w:sz w:val="24"/>
          <w:szCs w:val="24"/>
        </w:rPr>
        <w:t xml:space="preserve"> </w:t>
      </w:r>
      <w:r w:rsidR="00C304EF" w:rsidRPr="009F7A49">
        <w:rPr>
          <w:rFonts w:ascii="Gill Sans MT" w:hAnsi="Gill Sans MT"/>
          <w:sz w:val="24"/>
          <w:szCs w:val="24"/>
        </w:rPr>
        <w:t>; assurer des aménagements raisonnables et des mesures de soutien pour faire en sorte que les enfants vulnérables et ceux en situation difficile aient effectivement accès à l’éducation et en bénéficient de façon propre à assurer une intégration sociale aussi complète que possible </w:t>
      </w:r>
      <w:r w:rsidR="00AB31AF" w:rsidRPr="009F7A49">
        <w:rPr>
          <w:rFonts w:ascii="Gill Sans MT" w:hAnsi="Gill Sans MT"/>
          <w:sz w:val="24"/>
          <w:szCs w:val="24"/>
        </w:rPr>
        <w:t>(iii)</w:t>
      </w:r>
      <w:r w:rsidR="00AB31AF">
        <w:rPr>
          <w:rFonts w:ascii="Gill Sans MT" w:hAnsi="Gill Sans MT"/>
          <w:sz w:val="24"/>
          <w:szCs w:val="24"/>
        </w:rPr>
        <w:t xml:space="preserve"> </w:t>
      </w:r>
      <w:r w:rsidR="00C304EF" w:rsidRPr="009F7A49">
        <w:rPr>
          <w:rFonts w:ascii="Gill Sans MT" w:hAnsi="Gill Sans MT"/>
          <w:sz w:val="24"/>
          <w:szCs w:val="24"/>
        </w:rPr>
        <w:t>; protéger les enfants contre l’exploitation économique qui pourrait compromettre leur éducation et donc leur avenir </w:t>
      </w:r>
      <w:r w:rsidR="00AB31AF" w:rsidRPr="009F7A49">
        <w:rPr>
          <w:rFonts w:ascii="Gill Sans MT" w:hAnsi="Gill Sans MT"/>
          <w:sz w:val="24"/>
          <w:szCs w:val="24"/>
        </w:rPr>
        <w:t xml:space="preserve">(iv) </w:t>
      </w:r>
      <w:r w:rsidR="00C304EF" w:rsidRPr="009F7A49">
        <w:rPr>
          <w:rFonts w:ascii="Gill Sans MT" w:hAnsi="Gill Sans MT"/>
          <w:sz w:val="24"/>
          <w:szCs w:val="24"/>
        </w:rPr>
        <w:t xml:space="preserve">; encourager l’émergence d’une école de qualité et respectueuse des droits de l’enfant au niveau de son cadre physique, de ses programmes et </w:t>
      </w:r>
      <w:r w:rsidR="00AB31AF">
        <w:rPr>
          <w:rFonts w:ascii="Gill Sans MT" w:hAnsi="Gill Sans MT"/>
          <w:sz w:val="24"/>
          <w:szCs w:val="24"/>
        </w:rPr>
        <w:t xml:space="preserve">de ses </w:t>
      </w:r>
      <w:r w:rsidR="00C304EF" w:rsidRPr="009F7A49">
        <w:rPr>
          <w:rFonts w:ascii="Gill Sans MT" w:hAnsi="Gill Sans MT"/>
          <w:sz w:val="24"/>
          <w:szCs w:val="24"/>
        </w:rPr>
        <w:t xml:space="preserve">méthodes pédagogiques. </w:t>
      </w:r>
    </w:p>
    <w:p w:rsidR="00F867F3" w:rsidRPr="00156B9A" w:rsidRDefault="009F7A49" w:rsidP="00F867F3">
      <w:pPr>
        <w:numPr>
          <w:ilvl w:val="0"/>
          <w:numId w:val="1"/>
        </w:numPr>
        <w:spacing w:after="0" w:line="240" w:lineRule="auto"/>
        <w:jc w:val="both"/>
        <w:rPr>
          <w:rFonts w:ascii="Gill Sans MT" w:hAnsi="Gill Sans MT" w:cs="Times New Roman"/>
          <w:sz w:val="24"/>
          <w:szCs w:val="24"/>
          <w:lang w:bidi="ar-MA"/>
        </w:rPr>
      </w:pPr>
      <w:r w:rsidRPr="00156B9A">
        <w:rPr>
          <w:rFonts w:ascii="Gill Sans MT" w:hAnsi="Gill Sans MT" w:cs="Times New Roman"/>
          <w:sz w:val="24"/>
          <w:szCs w:val="24"/>
          <w:lang w:bidi="ar-MA"/>
        </w:rPr>
        <w:t>La mise en place et le renforcement des programmes d’information</w:t>
      </w:r>
      <w:r w:rsidR="00AB31AF" w:rsidRPr="00156B9A">
        <w:rPr>
          <w:rFonts w:ascii="Gill Sans MT" w:hAnsi="Gill Sans MT" w:cs="Times New Roman"/>
          <w:sz w:val="24"/>
          <w:szCs w:val="24"/>
          <w:lang w:bidi="ar-MA"/>
        </w:rPr>
        <w:t xml:space="preserve"> et</w:t>
      </w:r>
      <w:r w:rsidRPr="00156B9A">
        <w:rPr>
          <w:rFonts w:ascii="Gill Sans MT" w:hAnsi="Gill Sans MT" w:cs="Times New Roman"/>
          <w:sz w:val="24"/>
          <w:szCs w:val="24"/>
          <w:lang w:bidi="ar-MA"/>
        </w:rPr>
        <w:t xml:space="preserve"> de sensibilisation sur les droits des enfants ;</w:t>
      </w:r>
    </w:p>
    <w:p w:rsidR="00F867F3" w:rsidRPr="00156B9A" w:rsidRDefault="00F867F3" w:rsidP="00F867F3">
      <w:pPr>
        <w:spacing w:after="0" w:line="240" w:lineRule="auto"/>
        <w:ind w:left="720"/>
        <w:jc w:val="both"/>
        <w:rPr>
          <w:rFonts w:ascii="Gill Sans MT" w:hAnsi="Gill Sans MT" w:cs="Times New Roman"/>
          <w:sz w:val="24"/>
          <w:szCs w:val="24"/>
          <w:lang w:bidi="ar-MA"/>
        </w:rPr>
      </w:pPr>
    </w:p>
    <w:p w:rsidR="009F7A49" w:rsidRPr="00156B9A" w:rsidRDefault="009F7A49" w:rsidP="00FF5E51">
      <w:pPr>
        <w:numPr>
          <w:ilvl w:val="0"/>
          <w:numId w:val="1"/>
        </w:numPr>
        <w:spacing w:after="0" w:line="240" w:lineRule="auto"/>
        <w:jc w:val="both"/>
        <w:rPr>
          <w:rFonts w:ascii="Gill Sans MT" w:hAnsi="Gill Sans MT" w:cs="Times New Roman"/>
          <w:sz w:val="24"/>
          <w:szCs w:val="24"/>
          <w:lang w:bidi="ar-MA"/>
        </w:rPr>
      </w:pPr>
      <w:r w:rsidRPr="00156B9A">
        <w:rPr>
          <w:rFonts w:ascii="Gill Sans MT" w:hAnsi="Gill Sans MT" w:cs="Times New Roman"/>
          <w:sz w:val="24"/>
          <w:szCs w:val="24"/>
          <w:lang w:bidi="ar-MA"/>
        </w:rPr>
        <w:t>L’amélioration de l’accès des enfants à l’information ainsi que la systématisation de la participation des enfants, qui doivent être considérés comme des acteurs de la protection de leurs droits et de celles de leurs pairs ;</w:t>
      </w:r>
    </w:p>
    <w:p w:rsidR="00F867F3" w:rsidRPr="00156B9A" w:rsidRDefault="00F867F3" w:rsidP="00F867F3">
      <w:pPr>
        <w:spacing w:after="0" w:line="240" w:lineRule="auto"/>
        <w:ind w:left="720"/>
        <w:jc w:val="both"/>
        <w:rPr>
          <w:rFonts w:ascii="Gill Sans MT" w:hAnsi="Gill Sans MT" w:cs="Times New Roman"/>
          <w:sz w:val="24"/>
          <w:szCs w:val="24"/>
          <w:lang w:bidi="ar-MA"/>
        </w:rPr>
      </w:pPr>
    </w:p>
    <w:p w:rsidR="009F7A49" w:rsidRDefault="009F7A49" w:rsidP="00FF5E51">
      <w:pPr>
        <w:numPr>
          <w:ilvl w:val="0"/>
          <w:numId w:val="1"/>
        </w:numPr>
        <w:spacing w:after="0" w:line="240" w:lineRule="auto"/>
        <w:jc w:val="both"/>
        <w:rPr>
          <w:rFonts w:ascii="Gill Sans MT" w:hAnsi="Gill Sans MT" w:cs="Times New Roman"/>
          <w:sz w:val="24"/>
          <w:szCs w:val="24"/>
          <w:lang w:bidi="ar-MA"/>
        </w:rPr>
      </w:pPr>
      <w:r w:rsidRPr="00156B9A">
        <w:rPr>
          <w:rFonts w:ascii="Gill Sans MT" w:hAnsi="Gill Sans MT" w:cs="Times New Roman"/>
          <w:sz w:val="24"/>
          <w:szCs w:val="24"/>
          <w:lang w:bidi="ar-MA"/>
        </w:rPr>
        <w:t xml:space="preserve">Le soutien aux  associations et ONG agissant dans le domaine des droits de l’enfant, et </w:t>
      </w:r>
      <w:r w:rsidR="00AB31AF" w:rsidRPr="00156B9A">
        <w:rPr>
          <w:rFonts w:ascii="Gill Sans MT" w:hAnsi="Gill Sans MT" w:cs="Times New Roman"/>
          <w:sz w:val="24"/>
          <w:szCs w:val="24"/>
          <w:lang w:bidi="ar-MA"/>
        </w:rPr>
        <w:t xml:space="preserve"> à leur accès</w:t>
      </w:r>
      <w:r w:rsidRPr="00156B9A">
        <w:rPr>
          <w:rFonts w:ascii="Gill Sans MT" w:hAnsi="Gill Sans MT" w:cs="Times New Roman"/>
          <w:sz w:val="24"/>
          <w:szCs w:val="24"/>
          <w:lang w:bidi="ar-MA"/>
        </w:rPr>
        <w:t xml:space="preserve"> des moyens qui leur permettraient de remplir leurs missions, dans le cadre de partenariats clairement établis</w:t>
      </w:r>
      <w:r w:rsidR="00AB31AF" w:rsidRPr="00156B9A">
        <w:rPr>
          <w:rFonts w:ascii="Gill Sans MT" w:hAnsi="Gill Sans MT" w:cs="Times New Roman"/>
          <w:sz w:val="24"/>
          <w:szCs w:val="24"/>
          <w:lang w:bidi="ar-MA"/>
        </w:rPr>
        <w:t xml:space="preserve"> </w:t>
      </w:r>
      <w:r w:rsidRPr="00156B9A">
        <w:rPr>
          <w:rFonts w:ascii="Gill Sans MT" w:hAnsi="Gill Sans MT" w:cs="Times New Roman"/>
          <w:sz w:val="24"/>
          <w:szCs w:val="24"/>
          <w:lang w:bidi="ar-MA"/>
        </w:rPr>
        <w:t>;</w:t>
      </w:r>
    </w:p>
    <w:p w:rsidR="002A7A10" w:rsidRPr="00156B9A" w:rsidRDefault="002A7A10" w:rsidP="002A7A10">
      <w:pPr>
        <w:spacing w:after="0" w:line="240" w:lineRule="auto"/>
        <w:jc w:val="both"/>
        <w:rPr>
          <w:rFonts w:ascii="Gill Sans MT" w:hAnsi="Gill Sans MT" w:cs="Times New Roman"/>
          <w:sz w:val="24"/>
          <w:szCs w:val="24"/>
          <w:lang w:bidi="ar-MA"/>
        </w:rPr>
      </w:pPr>
    </w:p>
    <w:p w:rsidR="009F7A49" w:rsidRPr="00156B9A" w:rsidRDefault="009F7A49" w:rsidP="00FF5E51">
      <w:pPr>
        <w:numPr>
          <w:ilvl w:val="0"/>
          <w:numId w:val="1"/>
        </w:numPr>
        <w:spacing w:after="0" w:line="240" w:lineRule="auto"/>
        <w:jc w:val="both"/>
        <w:rPr>
          <w:rFonts w:ascii="Gill Sans MT" w:hAnsi="Gill Sans MT" w:cs="Times New Roman"/>
          <w:sz w:val="24"/>
          <w:szCs w:val="24"/>
          <w:lang w:bidi="ar-MA"/>
        </w:rPr>
      </w:pPr>
      <w:r w:rsidRPr="00156B9A">
        <w:rPr>
          <w:rFonts w:ascii="Gill Sans MT" w:hAnsi="Gill Sans MT" w:cs="Times New Roman"/>
          <w:sz w:val="24"/>
          <w:szCs w:val="24"/>
          <w:lang w:bidi="ar-MA"/>
        </w:rPr>
        <w:t>Le développement de partenariats avec le secteur privé, afin d’encourager la responsabilité sociale des entreprises dans le domaine de la protection des enfants et de leurs droits</w:t>
      </w:r>
      <w:r w:rsidR="004F25ED">
        <w:rPr>
          <w:rFonts w:ascii="Gill Sans MT" w:hAnsi="Gill Sans MT" w:cs="Times New Roman"/>
          <w:sz w:val="24"/>
          <w:szCs w:val="24"/>
          <w:lang w:bidi="ar-MA"/>
        </w:rPr>
        <w:t>.</w:t>
      </w:r>
      <w:r w:rsidRPr="00156B9A">
        <w:rPr>
          <w:rFonts w:ascii="Gill Sans MT" w:hAnsi="Gill Sans MT" w:cs="Times New Roman"/>
          <w:sz w:val="24"/>
          <w:szCs w:val="24"/>
          <w:lang w:bidi="ar-MA"/>
        </w:rPr>
        <w:t xml:space="preserve"> </w:t>
      </w:r>
    </w:p>
    <w:p w:rsidR="00FF5E51" w:rsidRPr="00156B9A" w:rsidRDefault="00FF5E51" w:rsidP="00F867F3">
      <w:pPr>
        <w:spacing w:after="0" w:line="240" w:lineRule="auto"/>
        <w:jc w:val="both"/>
        <w:rPr>
          <w:rFonts w:ascii="Gill Sans MT" w:hAnsi="Gill Sans MT" w:cs="Times New Roman"/>
          <w:sz w:val="24"/>
          <w:szCs w:val="24"/>
          <w:lang w:bidi="ar-MA"/>
        </w:rPr>
      </w:pPr>
    </w:p>
    <w:p w:rsidR="009F7A49" w:rsidRPr="00FF5E51" w:rsidRDefault="009F7A49" w:rsidP="00FF5E51">
      <w:pPr>
        <w:jc w:val="both"/>
        <w:rPr>
          <w:rFonts w:ascii="Gill Sans MT" w:hAnsi="Gill Sans MT"/>
          <w:b/>
          <w:bCs/>
          <w:sz w:val="24"/>
          <w:szCs w:val="24"/>
        </w:rPr>
      </w:pPr>
      <w:r w:rsidRPr="00FF5E51">
        <w:rPr>
          <w:rFonts w:ascii="Gill Sans MT" w:hAnsi="Gill Sans MT"/>
          <w:b/>
          <w:bCs/>
          <w:sz w:val="24"/>
          <w:szCs w:val="24"/>
        </w:rPr>
        <w:t>2</w:t>
      </w:r>
      <w:r w:rsidR="002A7A10">
        <w:rPr>
          <w:rFonts w:ascii="Gill Sans MT" w:hAnsi="Gill Sans MT"/>
          <w:b/>
          <w:bCs/>
          <w:sz w:val="24"/>
          <w:szCs w:val="24"/>
        </w:rPr>
        <w:t>4</w:t>
      </w:r>
      <w:r w:rsidRPr="00FF5E51">
        <w:rPr>
          <w:rFonts w:ascii="Gill Sans MT" w:hAnsi="Gill Sans MT"/>
          <w:b/>
          <w:bCs/>
          <w:sz w:val="24"/>
          <w:szCs w:val="24"/>
        </w:rPr>
        <w:t>. Le CNDH s’engage à apporter son expertise et assistance en vue de contribuer au :</w:t>
      </w:r>
    </w:p>
    <w:p w:rsidR="009F7A49" w:rsidRDefault="009F7A49" w:rsidP="00FF5E51">
      <w:pPr>
        <w:numPr>
          <w:ilvl w:val="0"/>
          <w:numId w:val="1"/>
        </w:numPr>
        <w:spacing w:after="0" w:line="240" w:lineRule="auto"/>
        <w:jc w:val="both"/>
        <w:rPr>
          <w:rFonts w:ascii="Gill Sans MT" w:hAnsi="Gill Sans MT" w:cs="Times New Roman"/>
          <w:sz w:val="24"/>
          <w:szCs w:val="24"/>
          <w:lang w:bidi="ar-MA"/>
        </w:rPr>
      </w:pPr>
      <w:r w:rsidRPr="00156B9A">
        <w:rPr>
          <w:rFonts w:ascii="Gill Sans MT" w:hAnsi="Gill Sans MT" w:cs="Times New Roman"/>
          <w:sz w:val="24"/>
          <w:szCs w:val="24"/>
          <w:lang w:bidi="ar-MA"/>
        </w:rPr>
        <w:t xml:space="preserve">Suivi de la mise en œuvre des observations du Comité et </w:t>
      </w:r>
      <w:r w:rsidR="00AB31AF" w:rsidRPr="00156B9A">
        <w:rPr>
          <w:rFonts w:ascii="Gill Sans MT" w:hAnsi="Gill Sans MT" w:cs="Times New Roman"/>
          <w:sz w:val="24"/>
          <w:szCs w:val="24"/>
          <w:lang w:bidi="ar-MA"/>
        </w:rPr>
        <w:t xml:space="preserve"> </w:t>
      </w:r>
      <w:r w:rsidRPr="00156B9A">
        <w:rPr>
          <w:rFonts w:ascii="Gill Sans MT" w:hAnsi="Gill Sans MT" w:cs="Times New Roman"/>
          <w:sz w:val="24"/>
          <w:szCs w:val="24"/>
          <w:lang w:bidi="ar-MA"/>
        </w:rPr>
        <w:t>de</w:t>
      </w:r>
      <w:r w:rsidR="00AB31AF" w:rsidRPr="00156B9A">
        <w:rPr>
          <w:rFonts w:ascii="Gill Sans MT" w:hAnsi="Gill Sans MT" w:cs="Times New Roman"/>
          <w:sz w:val="24"/>
          <w:szCs w:val="24"/>
          <w:lang w:bidi="ar-MA"/>
        </w:rPr>
        <w:t xml:space="preserve"> se</w:t>
      </w:r>
      <w:r w:rsidRPr="00156B9A">
        <w:rPr>
          <w:rFonts w:ascii="Gill Sans MT" w:hAnsi="Gill Sans MT" w:cs="Times New Roman"/>
          <w:sz w:val="24"/>
          <w:szCs w:val="24"/>
          <w:lang w:bidi="ar-MA"/>
        </w:rPr>
        <w:t xml:space="preserve">s recommandations </w:t>
      </w:r>
      <w:r w:rsidR="00AB31AF" w:rsidRPr="00156B9A">
        <w:rPr>
          <w:rFonts w:ascii="Gill Sans MT" w:hAnsi="Gill Sans MT" w:cs="Times New Roman"/>
          <w:sz w:val="24"/>
          <w:szCs w:val="24"/>
          <w:lang w:bidi="ar-MA"/>
        </w:rPr>
        <w:t xml:space="preserve">pertinentes </w:t>
      </w:r>
      <w:r w:rsidRPr="00156B9A">
        <w:rPr>
          <w:rFonts w:ascii="Gill Sans MT" w:hAnsi="Gill Sans MT" w:cs="Times New Roman"/>
          <w:sz w:val="24"/>
          <w:szCs w:val="24"/>
          <w:lang w:bidi="ar-MA"/>
        </w:rPr>
        <w:t xml:space="preserve">relatives aux droits de l’enfant ; </w:t>
      </w:r>
    </w:p>
    <w:p w:rsidR="002A7A10" w:rsidRPr="00156B9A" w:rsidRDefault="002A7A10" w:rsidP="002A7A10">
      <w:pPr>
        <w:spacing w:after="0" w:line="240" w:lineRule="auto"/>
        <w:ind w:left="720"/>
        <w:jc w:val="both"/>
        <w:rPr>
          <w:rFonts w:ascii="Gill Sans MT" w:hAnsi="Gill Sans MT" w:cs="Times New Roman"/>
          <w:sz w:val="24"/>
          <w:szCs w:val="24"/>
          <w:lang w:bidi="ar-MA"/>
        </w:rPr>
      </w:pPr>
    </w:p>
    <w:p w:rsidR="009F7A49" w:rsidRPr="00156B9A" w:rsidRDefault="009F7A49" w:rsidP="00FF5E51">
      <w:pPr>
        <w:numPr>
          <w:ilvl w:val="0"/>
          <w:numId w:val="1"/>
        </w:numPr>
        <w:spacing w:after="0" w:line="240" w:lineRule="auto"/>
        <w:jc w:val="both"/>
        <w:rPr>
          <w:rFonts w:ascii="Gill Sans MT" w:hAnsi="Gill Sans MT" w:cs="Times New Roman"/>
          <w:sz w:val="24"/>
          <w:szCs w:val="24"/>
          <w:lang w:bidi="ar-MA"/>
        </w:rPr>
      </w:pPr>
      <w:r w:rsidRPr="00156B9A">
        <w:rPr>
          <w:rFonts w:ascii="Gill Sans MT" w:hAnsi="Gill Sans MT" w:cs="Times New Roman"/>
          <w:sz w:val="24"/>
          <w:szCs w:val="24"/>
          <w:lang w:bidi="ar-MA"/>
        </w:rPr>
        <w:t xml:space="preserve">Renforcement des capacités des acteurs gouvernementaux et non gouvernementaux concernés par la promotion et la protection des droits de l’enfant, à travers la mise en place des programmes de formation aux droits de l’enfant pour les responsables chargés de l’application de la loi, les acteurs de la société civile et toutes les parties chargées de promouvoir les droits de l’enfant ; </w:t>
      </w:r>
    </w:p>
    <w:p w:rsidR="009F7A49" w:rsidRDefault="009F7A49" w:rsidP="00FF5E51">
      <w:pPr>
        <w:numPr>
          <w:ilvl w:val="0"/>
          <w:numId w:val="1"/>
        </w:numPr>
        <w:spacing w:after="0" w:line="240" w:lineRule="auto"/>
        <w:jc w:val="both"/>
        <w:rPr>
          <w:rFonts w:ascii="Gill Sans MT" w:hAnsi="Gill Sans MT" w:cs="Times New Roman"/>
          <w:sz w:val="24"/>
          <w:szCs w:val="24"/>
          <w:lang w:bidi="ar-MA"/>
        </w:rPr>
      </w:pPr>
      <w:r w:rsidRPr="00156B9A">
        <w:rPr>
          <w:rFonts w:ascii="Gill Sans MT" w:hAnsi="Gill Sans MT" w:cs="Times New Roman"/>
          <w:sz w:val="24"/>
          <w:szCs w:val="24"/>
          <w:lang w:bidi="ar-MA"/>
        </w:rPr>
        <w:t xml:space="preserve">Suivi de la situation des droits de l’enfant et à la supervision de l’effectivité des lois en vigueur, </w:t>
      </w:r>
      <w:r w:rsidR="00AB31AF" w:rsidRPr="00156B9A">
        <w:rPr>
          <w:rFonts w:ascii="Gill Sans MT" w:hAnsi="Gill Sans MT" w:cs="Times New Roman"/>
          <w:sz w:val="24"/>
          <w:szCs w:val="24"/>
          <w:lang w:bidi="ar-MA"/>
        </w:rPr>
        <w:t>de l’effectivité</w:t>
      </w:r>
      <w:r w:rsidRPr="00156B9A">
        <w:rPr>
          <w:rFonts w:ascii="Gill Sans MT" w:hAnsi="Gill Sans MT" w:cs="Times New Roman"/>
          <w:sz w:val="24"/>
          <w:szCs w:val="24"/>
          <w:lang w:bidi="ar-MA"/>
        </w:rPr>
        <w:t xml:space="preserve"> de la règle de droit et de la conformité avec les dispositifs de la Convention</w:t>
      </w:r>
      <w:r w:rsidR="00AB31AF" w:rsidRPr="00156B9A">
        <w:rPr>
          <w:rFonts w:ascii="Gill Sans MT" w:hAnsi="Gill Sans MT" w:cs="Times New Roman"/>
          <w:sz w:val="24"/>
          <w:szCs w:val="24"/>
          <w:lang w:bidi="ar-MA"/>
        </w:rPr>
        <w:t xml:space="preserve"> </w:t>
      </w:r>
      <w:r w:rsidRPr="00156B9A">
        <w:rPr>
          <w:rFonts w:ascii="Gill Sans MT" w:hAnsi="Gill Sans MT" w:cs="Times New Roman"/>
          <w:sz w:val="24"/>
          <w:szCs w:val="24"/>
          <w:lang w:bidi="ar-MA"/>
        </w:rPr>
        <w:t>;</w:t>
      </w:r>
    </w:p>
    <w:p w:rsidR="002A7A10" w:rsidRPr="00156B9A" w:rsidRDefault="002A7A10" w:rsidP="002A7A10">
      <w:pPr>
        <w:spacing w:after="0" w:line="240" w:lineRule="auto"/>
        <w:ind w:left="720"/>
        <w:jc w:val="both"/>
        <w:rPr>
          <w:rFonts w:ascii="Gill Sans MT" w:hAnsi="Gill Sans MT" w:cs="Times New Roman"/>
          <w:sz w:val="24"/>
          <w:szCs w:val="24"/>
          <w:lang w:bidi="ar-MA"/>
        </w:rPr>
      </w:pPr>
    </w:p>
    <w:p w:rsidR="009F7A49" w:rsidRPr="00156B9A" w:rsidRDefault="009F7A49" w:rsidP="00FF5E51">
      <w:pPr>
        <w:numPr>
          <w:ilvl w:val="0"/>
          <w:numId w:val="1"/>
        </w:numPr>
        <w:spacing w:after="0" w:line="240" w:lineRule="auto"/>
        <w:jc w:val="both"/>
        <w:rPr>
          <w:rFonts w:ascii="Gill Sans MT" w:hAnsi="Gill Sans MT" w:cs="Times New Roman"/>
          <w:sz w:val="24"/>
          <w:szCs w:val="24"/>
          <w:lang w:bidi="ar-MA"/>
        </w:rPr>
      </w:pPr>
      <w:r w:rsidRPr="00156B9A">
        <w:rPr>
          <w:rFonts w:ascii="Gill Sans MT" w:hAnsi="Gill Sans MT" w:cs="Times New Roman"/>
          <w:sz w:val="24"/>
          <w:szCs w:val="24"/>
          <w:lang w:bidi="ar-MA"/>
        </w:rPr>
        <w:t>Mise en place d’un mécanisme de recours indépendant aisément accessible pour tout enfant victime de violation de l’un de ses droits,  lui garantissant  sécurité,  confidentialité, protection et réparation</w:t>
      </w:r>
      <w:r w:rsidR="00FF5E51" w:rsidRPr="00156B9A">
        <w:rPr>
          <w:rFonts w:ascii="Gill Sans MT" w:hAnsi="Gill Sans MT" w:cs="Times New Roman"/>
          <w:sz w:val="24"/>
          <w:szCs w:val="24"/>
          <w:lang w:bidi="ar-MA"/>
        </w:rPr>
        <w:t>.</w:t>
      </w:r>
    </w:p>
    <w:sectPr w:rsidR="009F7A49" w:rsidRPr="00156B9A" w:rsidSect="003F692D">
      <w:headerReference w:type="even" r:id="rId13"/>
      <w:headerReference w:type="default" r:id="rId14"/>
      <w:footerReference w:type="default" r:id="rId15"/>
      <w:headerReference w:type="firs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1D2" w:rsidRDefault="00E361D2" w:rsidP="009F7A49">
      <w:pPr>
        <w:spacing w:after="0" w:line="240" w:lineRule="auto"/>
      </w:pPr>
      <w:r>
        <w:separator/>
      </w:r>
    </w:p>
  </w:endnote>
  <w:endnote w:type="continuationSeparator" w:id="0">
    <w:p w:rsidR="00E361D2" w:rsidRDefault="00E361D2" w:rsidP="009F7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Grande">
    <w:charset w:val="00"/>
    <w:family w:val="auto"/>
    <w:pitch w:val="variable"/>
    <w:sig w:usb0="E1000AEF" w:usb1="5000A1FF" w:usb2="00000000" w:usb3="00000000" w:csb0="000001B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D4" w:rsidRDefault="00D336D4">
    <w:pPr>
      <w:pStyle w:val="Footer"/>
      <w:jc w:val="right"/>
    </w:pPr>
    <w:r>
      <w:fldChar w:fldCharType="begin"/>
    </w:r>
    <w:r>
      <w:instrText xml:space="preserve"> </w:instrText>
    </w:r>
    <w:r w:rsidR="00BC64BB">
      <w:instrText>PAGE</w:instrText>
    </w:r>
    <w:r>
      <w:instrText xml:space="preserve">   \* MERGEFORMAT </w:instrText>
    </w:r>
    <w:r>
      <w:fldChar w:fldCharType="separate"/>
    </w:r>
    <w:r w:rsidR="00B4512B">
      <w:rPr>
        <w:noProof/>
      </w:rPr>
      <w:t>1</w:t>
    </w:r>
    <w:r>
      <w:fldChar w:fldCharType="end"/>
    </w:r>
    <w:r>
      <w:t>/6</w:t>
    </w:r>
  </w:p>
  <w:p w:rsidR="00D336D4" w:rsidRDefault="00D336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1D2" w:rsidRDefault="00E361D2" w:rsidP="009F7A49">
      <w:pPr>
        <w:spacing w:after="0" w:line="240" w:lineRule="auto"/>
      </w:pPr>
      <w:r>
        <w:separator/>
      </w:r>
    </w:p>
  </w:footnote>
  <w:footnote w:type="continuationSeparator" w:id="0">
    <w:p w:rsidR="00E361D2" w:rsidRDefault="00E361D2" w:rsidP="009F7A49">
      <w:pPr>
        <w:spacing w:after="0" w:line="240" w:lineRule="auto"/>
      </w:pPr>
      <w:r>
        <w:continuationSeparator/>
      </w:r>
    </w:p>
  </w:footnote>
  <w:footnote w:id="1">
    <w:p w:rsidR="00D336D4" w:rsidRPr="009F7A49" w:rsidRDefault="00D336D4" w:rsidP="009F7A49">
      <w:pPr>
        <w:pStyle w:val="FootnoteText"/>
        <w:rPr>
          <w:sz w:val="18"/>
          <w:szCs w:val="18"/>
          <w:lang w:val="fr-FR"/>
        </w:rPr>
      </w:pPr>
      <w:r>
        <w:rPr>
          <w:rStyle w:val="FootnoteReference"/>
        </w:rPr>
        <w:footnoteRef/>
      </w:r>
      <w:r w:rsidRPr="009F7A49">
        <w:rPr>
          <w:lang w:val="fr-FR"/>
        </w:rPr>
        <w:t xml:space="preserve"> - </w:t>
      </w:r>
      <w:r w:rsidRPr="00007F44">
        <w:rPr>
          <w:sz w:val="18"/>
          <w:szCs w:val="18"/>
          <w:lang w:val="fr-FR"/>
        </w:rPr>
        <w:t>Enfants dans les centres de sauvegarde: une enfance en danger, Conseil national des Droits de l’Home, Rabat, mai 2013</w:t>
      </w:r>
    </w:p>
    <w:p w:rsidR="00D336D4" w:rsidRPr="009F7A49" w:rsidRDefault="00D336D4" w:rsidP="009F7A49">
      <w:pPr>
        <w:pStyle w:val="FootnoteText"/>
        <w:rPr>
          <w:sz w:val="18"/>
          <w:szCs w:val="18"/>
          <w:lang w:val="fr-FR"/>
        </w:rPr>
      </w:pPr>
      <w:r w:rsidRPr="009F7A49">
        <w:rPr>
          <w:sz w:val="18"/>
          <w:szCs w:val="18"/>
          <w:lang w:val="fr-FR"/>
        </w:rPr>
        <w:t xml:space="preserve">- </w:t>
      </w:r>
      <w:r w:rsidRPr="00007F44">
        <w:rPr>
          <w:sz w:val="18"/>
          <w:szCs w:val="18"/>
          <w:lang w:val="fr-FR"/>
        </w:rPr>
        <w:t xml:space="preserve">Etude pour </w:t>
      </w:r>
      <w:r w:rsidRPr="009F7A49">
        <w:rPr>
          <w:sz w:val="18"/>
          <w:szCs w:val="18"/>
          <w:lang w:val="fr-FR"/>
        </w:rPr>
        <w:t xml:space="preserve">la mise en place d’un mécanisme de recours et de suivi des droits de l’enfant au Maroc, </w:t>
      </w:r>
      <w:r w:rsidRPr="00007F44">
        <w:rPr>
          <w:sz w:val="18"/>
          <w:szCs w:val="18"/>
          <w:lang w:val="fr-FR"/>
        </w:rPr>
        <w:t xml:space="preserve">publication du Conseil </w:t>
      </w:r>
      <w:r>
        <w:rPr>
          <w:sz w:val="18"/>
          <w:szCs w:val="18"/>
          <w:lang w:val="fr-FR"/>
        </w:rPr>
        <w:t>consultatif</w:t>
      </w:r>
      <w:r w:rsidRPr="00007F44">
        <w:rPr>
          <w:sz w:val="18"/>
          <w:szCs w:val="18"/>
          <w:lang w:val="fr-FR"/>
        </w:rPr>
        <w:t xml:space="preserve"> des Droits de l’Ho</w:t>
      </w:r>
      <w:r>
        <w:rPr>
          <w:sz w:val="18"/>
          <w:szCs w:val="18"/>
          <w:lang w:val="fr-FR"/>
        </w:rPr>
        <w:t>m</w:t>
      </w:r>
      <w:r w:rsidRPr="00007F44">
        <w:rPr>
          <w:sz w:val="18"/>
          <w:szCs w:val="18"/>
          <w:lang w:val="fr-FR"/>
        </w:rPr>
        <w:t xml:space="preserve">me, </w:t>
      </w:r>
      <w:r w:rsidRPr="009F7A49">
        <w:rPr>
          <w:sz w:val="18"/>
          <w:szCs w:val="18"/>
          <w:lang w:val="fr-FR"/>
        </w:rPr>
        <w:t>décembre 2010</w:t>
      </w:r>
    </w:p>
    <w:p w:rsidR="00D336D4" w:rsidRPr="009F7A49" w:rsidRDefault="00D336D4" w:rsidP="009F7A49">
      <w:pPr>
        <w:pStyle w:val="FootnoteText"/>
        <w:rPr>
          <w:sz w:val="18"/>
          <w:szCs w:val="18"/>
          <w:lang w:val="fr-FR"/>
        </w:rPr>
      </w:pPr>
      <w:r w:rsidRPr="009F7A49">
        <w:rPr>
          <w:sz w:val="18"/>
          <w:szCs w:val="18"/>
          <w:lang w:val="fr-FR"/>
        </w:rPr>
        <w:t>- La crise des prisons: une responsabilité partagée, CNDH, décembre 2012</w:t>
      </w:r>
    </w:p>
    <w:p w:rsidR="00D336D4" w:rsidRPr="009F7A49" w:rsidRDefault="00D336D4" w:rsidP="009F7A49">
      <w:pPr>
        <w:pStyle w:val="FootnoteText"/>
        <w:rPr>
          <w:lang w:val="fr-FR"/>
        </w:rPr>
      </w:pPr>
      <w:r w:rsidRPr="009F7A49">
        <w:rPr>
          <w:sz w:val="18"/>
          <w:szCs w:val="18"/>
          <w:lang w:val="fr-FR"/>
        </w:rPr>
        <w:t xml:space="preserve">- Guide d la justice des mineurs à la lumière des standards internationaux et des dispositions nationales. 2ème </w:t>
      </w:r>
      <w:r>
        <w:rPr>
          <w:sz w:val="18"/>
          <w:szCs w:val="18"/>
          <w:lang w:val="fr-FR"/>
        </w:rPr>
        <w:t>é</w:t>
      </w:r>
      <w:r w:rsidRPr="009F7A49">
        <w:rPr>
          <w:sz w:val="18"/>
          <w:szCs w:val="18"/>
          <w:lang w:val="fr-FR"/>
        </w:rPr>
        <w:t>d</w:t>
      </w:r>
      <w:r>
        <w:rPr>
          <w:sz w:val="18"/>
          <w:szCs w:val="18"/>
          <w:lang w:val="fr-FR"/>
        </w:rPr>
        <w:t>.,</w:t>
      </w:r>
      <w:r w:rsidRPr="009F7A49">
        <w:rPr>
          <w:sz w:val="18"/>
          <w:szCs w:val="18"/>
          <w:lang w:val="fr-FR"/>
        </w:rPr>
        <w:t xml:space="preserve"> mai 2013</w:t>
      </w:r>
    </w:p>
  </w:footnote>
  <w:footnote w:id="2">
    <w:p w:rsidR="00D336D4" w:rsidRDefault="00D336D4" w:rsidP="009F7A49">
      <w:pPr>
        <w:pStyle w:val="FootnoteText"/>
        <w:rPr>
          <w:sz w:val="16"/>
          <w:szCs w:val="16"/>
          <w:lang w:val="fr-FR"/>
        </w:rPr>
      </w:pPr>
      <w:r>
        <w:rPr>
          <w:rStyle w:val="FootnoteReference"/>
        </w:rPr>
        <w:footnoteRef/>
      </w:r>
      <w:r w:rsidRPr="009F7A49">
        <w:rPr>
          <w:lang w:val="fr-FR"/>
        </w:rPr>
        <w:t xml:space="preserve"> - </w:t>
      </w:r>
      <w:r>
        <w:rPr>
          <w:sz w:val="16"/>
          <w:szCs w:val="16"/>
          <w:lang w:val="fr-FR"/>
        </w:rPr>
        <w:t>La</w:t>
      </w:r>
      <w:r w:rsidRPr="009F7A49">
        <w:rPr>
          <w:lang w:val="fr-FR"/>
        </w:rPr>
        <w:t xml:space="preserve"> </w:t>
      </w:r>
      <w:r w:rsidRPr="003732D3">
        <w:rPr>
          <w:sz w:val="16"/>
          <w:szCs w:val="16"/>
          <w:lang w:val="fr-FR"/>
        </w:rPr>
        <w:t>création du Conseil consultatif</w:t>
      </w:r>
      <w:r>
        <w:rPr>
          <w:sz w:val="16"/>
          <w:szCs w:val="16"/>
          <w:lang w:val="fr-FR"/>
        </w:rPr>
        <w:t xml:space="preserve"> </w:t>
      </w:r>
      <w:r w:rsidRPr="003732D3">
        <w:rPr>
          <w:sz w:val="16"/>
          <w:szCs w:val="16"/>
          <w:lang w:val="fr-FR"/>
        </w:rPr>
        <w:t>de la famille et de l’enfance</w:t>
      </w:r>
      <w:r>
        <w:rPr>
          <w:sz w:val="16"/>
          <w:szCs w:val="16"/>
          <w:lang w:val="fr-FR"/>
        </w:rPr>
        <w:t xml:space="preserve"> (avis), CNDH, 2013. Lien : </w:t>
      </w:r>
      <w:hyperlink r:id="rId1" w:history="1">
        <w:r w:rsidRPr="00E70DCE">
          <w:rPr>
            <w:rStyle w:val="Hyperlink"/>
            <w:rFonts w:eastAsia="Calibri"/>
            <w:sz w:val="16"/>
            <w:szCs w:val="16"/>
            <w:lang w:val="fr-FR"/>
          </w:rPr>
          <w:t>http://www.cndh.org.ma/fr/contribution-au-debat/conseil-consultatif-de-la-famille-et-de-lenfance</w:t>
        </w:r>
      </w:hyperlink>
    </w:p>
    <w:p w:rsidR="00D336D4" w:rsidRPr="003732D3" w:rsidRDefault="00D336D4" w:rsidP="009F7A49">
      <w:pPr>
        <w:pStyle w:val="FootnoteText"/>
        <w:rPr>
          <w:sz w:val="16"/>
          <w:szCs w:val="16"/>
          <w:lang w:val="fr-FR"/>
        </w:rPr>
      </w:pPr>
    </w:p>
    <w:p w:rsidR="00D336D4" w:rsidRDefault="00D336D4" w:rsidP="009F7A49">
      <w:pPr>
        <w:pStyle w:val="FootnoteText"/>
        <w:rPr>
          <w:sz w:val="16"/>
          <w:szCs w:val="16"/>
          <w:lang w:val="fr-FR"/>
        </w:rPr>
      </w:pPr>
      <w:r>
        <w:rPr>
          <w:sz w:val="16"/>
          <w:szCs w:val="16"/>
          <w:lang w:val="fr-FR"/>
        </w:rPr>
        <w:t xml:space="preserve">- </w:t>
      </w:r>
      <w:r w:rsidRPr="00FE44CD">
        <w:rPr>
          <w:sz w:val="16"/>
          <w:szCs w:val="16"/>
          <w:lang w:val="fr-FR"/>
        </w:rPr>
        <w:t xml:space="preserve">Etrangers et droits de l’homme au Maroc, </w:t>
      </w:r>
      <w:r>
        <w:rPr>
          <w:sz w:val="16"/>
          <w:szCs w:val="16"/>
          <w:lang w:val="fr-FR"/>
        </w:rPr>
        <w:t>(</w:t>
      </w:r>
      <w:r w:rsidRPr="00FE44CD">
        <w:rPr>
          <w:sz w:val="16"/>
          <w:szCs w:val="16"/>
          <w:lang w:val="fr-FR"/>
        </w:rPr>
        <w:t>résumé exécutif</w:t>
      </w:r>
      <w:r>
        <w:rPr>
          <w:sz w:val="16"/>
          <w:szCs w:val="16"/>
          <w:lang w:val="fr-FR"/>
        </w:rPr>
        <w:t xml:space="preserve">), Publication du CNDH, septembre 2013. Lien :  </w:t>
      </w:r>
      <w:hyperlink r:id="rId2" w:history="1">
        <w:r w:rsidRPr="00E70DCE">
          <w:rPr>
            <w:rStyle w:val="Hyperlink"/>
            <w:rFonts w:eastAsia="Calibri"/>
            <w:sz w:val="16"/>
            <w:szCs w:val="16"/>
            <w:lang w:val="fr-FR"/>
          </w:rPr>
          <w:t>http://www.cndh.org.ma/fr/rapports-thematiques/conclusions-et-recommandations-du-rapport-etrangers-et-droits-de-lhomme-au</w:t>
        </w:r>
      </w:hyperlink>
    </w:p>
    <w:p w:rsidR="00D336D4" w:rsidRDefault="00D336D4" w:rsidP="009F7A49">
      <w:pPr>
        <w:pStyle w:val="FootnoteText"/>
        <w:rPr>
          <w:sz w:val="16"/>
          <w:szCs w:val="16"/>
          <w:lang w:val="fr-FR"/>
        </w:rPr>
      </w:pPr>
    </w:p>
    <w:p w:rsidR="00D336D4" w:rsidRDefault="00D336D4" w:rsidP="009F7A49">
      <w:pPr>
        <w:pStyle w:val="FootnoteText"/>
        <w:rPr>
          <w:sz w:val="16"/>
          <w:szCs w:val="16"/>
          <w:lang w:val="fr-FR"/>
        </w:rPr>
      </w:pPr>
      <w:r>
        <w:rPr>
          <w:sz w:val="16"/>
          <w:szCs w:val="16"/>
          <w:lang w:val="fr-FR"/>
        </w:rPr>
        <w:t>- La mise en place de l’Autorité pour la parité et la lutte contre toutes les formes de discrimination, (Mémorandum), Publication CNDH, janvier 2013. Lien: </w:t>
      </w:r>
      <w:hyperlink r:id="rId3" w:history="1">
        <w:r w:rsidRPr="00E70DCE">
          <w:rPr>
            <w:rStyle w:val="Hyperlink"/>
            <w:rFonts w:eastAsia="Calibri"/>
            <w:sz w:val="16"/>
            <w:szCs w:val="16"/>
            <w:lang w:val="fr-FR"/>
          </w:rPr>
          <w:t>http://www.cndh.ma/fr/memorandums/la-mise-en-place-de-lautorite-pour-la-parite-et-la-lutte-contre-toutes-les-formes-de</w:t>
        </w:r>
      </w:hyperlink>
      <w:r>
        <w:rPr>
          <w:sz w:val="16"/>
          <w:szCs w:val="16"/>
          <w:lang w:val="fr-FR"/>
        </w:rPr>
        <w:t xml:space="preserve"> </w:t>
      </w:r>
    </w:p>
    <w:p w:rsidR="00D336D4" w:rsidRPr="0076180A" w:rsidRDefault="00D336D4" w:rsidP="009F7A49">
      <w:pPr>
        <w:pStyle w:val="FootnoteText"/>
        <w:rPr>
          <w:lang w:val="fr-FR"/>
        </w:rPr>
      </w:pPr>
    </w:p>
  </w:footnote>
  <w:footnote w:id="3">
    <w:p w:rsidR="00D336D4" w:rsidRPr="0052180C" w:rsidRDefault="00D336D4" w:rsidP="009F7A49">
      <w:pPr>
        <w:pStyle w:val="FootnoteText"/>
        <w:rPr>
          <w:sz w:val="16"/>
          <w:szCs w:val="16"/>
          <w:lang w:val="fr-FR"/>
        </w:rPr>
      </w:pPr>
      <w:r>
        <w:rPr>
          <w:rStyle w:val="FootnoteReference"/>
        </w:rPr>
        <w:footnoteRef/>
      </w:r>
      <w:r w:rsidRPr="0052180C">
        <w:rPr>
          <w:lang w:val="fr-FR"/>
        </w:rPr>
        <w:t xml:space="preserve"> </w:t>
      </w:r>
      <w:r w:rsidRPr="00FE0BA8">
        <w:rPr>
          <w:sz w:val="16"/>
          <w:szCs w:val="16"/>
          <w:lang w:val="fr-FR"/>
        </w:rPr>
        <w:t>Le lien de l’étude:</w:t>
      </w:r>
      <w:r w:rsidRPr="0052180C">
        <w:rPr>
          <w:lang w:val="fr-FR"/>
        </w:rPr>
        <w:t xml:space="preserve"> </w:t>
      </w:r>
      <w:hyperlink r:id="rId4" w:history="1">
        <w:r w:rsidRPr="0052180C">
          <w:rPr>
            <w:rStyle w:val="Hyperlink"/>
            <w:rFonts w:eastAsia="Calibri"/>
            <w:sz w:val="16"/>
            <w:szCs w:val="16"/>
            <w:lang w:val="fr-FR"/>
          </w:rPr>
          <w:t>http://www.cndh.org.ma/fr/etudes/vers-la-mise-en-place-dun-mecanisme-de-recours-et-de-suivi-des-droits-de-lenfant-au-maroc</w:t>
        </w:r>
      </w:hyperlink>
    </w:p>
    <w:p w:rsidR="00D336D4" w:rsidRPr="0052180C" w:rsidRDefault="00D336D4" w:rsidP="009F7A49">
      <w:pPr>
        <w:pStyle w:val="FootnoteText"/>
        <w:rPr>
          <w:lang w:val="fr-FR"/>
        </w:rPr>
      </w:pPr>
      <w:r w:rsidRPr="0052180C">
        <w:rPr>
          <w:sz w:val="16"/>
          <w:szCs w:val="16"/>
          <w:lang w:val="fr-FR"/>
        </w:rPr>
        <w:t xml:space="preserve"> </w:t>
      </w:r>
    </w:p>
  </w:footnote>
  <w:footnote w:id="4">
    <w:p w:rsidR="00D336D4" w:rsidRPr="007D100B" w:rsidRDefault="00D336D4" w:rsidP="009F7A49">
      <w:pPr>
        <w:pStyle w:val="FootnoteText"/>
        <w:rPr>
          <w:lang w:val="fr-FR"/>
        </w:rPr>
      </w:pPr>
      <w:r>
        <w:rPr>
          <w:rStyle w:val="FootnoteReference"/>
        </w:rPr>
        <w:footnoteRef/>
      </w:r>
      <w:r w:rsidRPr="009F7A49">
        <w:rPr>
          <w:lang w:val="fr-FR"/>
        </w:rPr>
        <w:t xml:space="preserve"> </w:t>
      </w:r>
      <w:r w:rsidRPr="007D100B">
        <w:rPr>
          <w:sz w:val="16"/>
          <w:szCs w:val="16"/>
          <w:lang w:val="fr-FR"/>
        </w:rPr>
        <w:t>Le CNDH a pris part aux travaux de l’élaboration de la politique nationale intégrée de protection</w:t>
      </w:r>
      <w:r>
        <w:rPr>
          <w:sz w:val="16"/>
          <w:szCs w:val="16"/>
          <w:lang w:val="fr-FR"/>
        </w:rPr>
        <w:t>.</w:t>
      </w:r>
      <w:r w:rsidRPr="007D100B">
        <w:rPr>
          <w:sz w:val="16"/>
          <w:szCs w:val="16"/>
          <w:lang w:val="fr-FR"/>
        </w:rPr>
        <w:t xml:space="preserve"> </w:t>
      </w:r>
    </w:p>
  </w:footnote>
  <w:footnote w:id="5">
    <w:p w:rsidR="00D336D4" w:rsidRPr="000632A7" w:rsidRDefault="00D336D4" w:rsidP="009F7A49">
      <w:pPr>
        <w:jc w:val="both"/>
        <w:rPr>
          <w:sz w:val="16"/>
          <w:szCs w:val="16"/>
        </w:rPr>
      </w:pPr>
      <w:r>
        <w:rPr>
          <w:rStyle w:val="FootnoteReference"/>
        </w:rPr>
        <w:footnoteRef/>
      </w:r>
      <w:r w:rsidRPr="000632A7">
        <w:t xml:space="preserve"> </w:t>
      </w:r>
      <w:r>
        <w:rPr>
          <w:sz w:val="16"/>
          <w:szCs w:val="16"/>
        </w:rPr>
        <w:t>- P</w:t>
      </w:r>
      <w:r w:rsidRPr="000632A7">
        <w:rPr>
          <w:sz w:val="16"/>
          <w:szCs w:val="16"/>
        </w:rPr>
        <w:t>rotocole</w:t>
      </w:r>
      <w:r w:rsidRPr="000632A7">
        <w:rPr>
          <w:rFonts w:eastAsia="Times New Roman"/>
          <w:sz w:val="16"/>
          <w:szCs w:val="16"/>
        </w:rPr>
        <w:t xml:space="preserve"> additionnel à la CDE relatif à </w:t>
      </w:r>
      <w:r w:rsidRPr="000632A7">
        <w:rPr>
          <w:sz w:val="16"/>
          <w:szCs w:val="16"/>
        </w:rPr>
        <w:t xml:space="preserve">l'implication des enfants dans les conflits armés ;  </w:t>
      </w:r>
    </w:p>
    <w:p w:rsidR="00D336D4" w:rsidRPr="000632A7" w:rsidRDefault="00D336D4" w:rsidP="009F7A49">
      <w:pPr>
        <w:jc w:val="both"/>
        <w:rPr>
          <w:sz w:val="16"/>
          <w:szCs w:val="16"/>
        </w:rPr>
      </w:pPr>
      <w:r>
        <w:rPr>
          <w:sz w:val="16"/>
          <w:szCs w:val="16"/>
        </w:rPr>
        <w:t xml:space="preserve">- </w:t>
      </w:r>
      <w:r w:rsidRPr="000632A7">
        <w:rPr>
          <w:sz w:val="16"/>
          <w:szCs w:val="16"/>
        </w:rPr>
        <w:t>Protocole additionnel relatif à la vente d’enfants, la prostitution des enfants et la pornographie mettant en scène des enfants ;</w:t>
      </w:r>
    </w:p>
    <w:p w:rsidR="00D336D4" w:rsidRPr="000632A7" w:rsidRDefault="00D336D4" w:rsidP="009F7A49">
      <w:pPr>
        <w:jc w:val="both"/>
        <w:rPr>
          <w:sz w:val="16"/>
          <w:szCs w:val="16"/>
        </w:rPr>
      </w:pPr>
      <w:r>
        <w:rPr>
          <w:sz w:val="16"/>
          <w:szCs w:val="16"/>
        </w:rPr>
        <w:t xml:space="preserve">- </w:t>
      </w:r>
      <w:r w:rsidRPr="000632A7">
        <w:rPr>
          <w:sz w:val="16"/>
          <w:szCs w:val="16"/>
        </w:rPr>
        <w:t>Conventions 138 sur le travail des enfants et 182 sur les pires formes de travail des enfants) ;</w:t>
      </w:r>
    </w:p>
    <w:p w:rsidR="00D336D4" w:rsidRPr="000632A7" w:rsidRDefault="00D336D4" w:rsidP="009F7A49">
      <w:pPr>
        <w:jc w:val="both"/>
        <w:rPr>
          <w:sz w:val="16"/>
          <w:szCs w:val="16"/>
        </w:rPr>
      </w:pPr>
      <w:r>
        <w:rPr>
          <w:sz w:val="16"/>
          <w:szCs w:val="16"/>
        </w:rPr>
        <w:t xml:space="preserve">- </w:t>
      </w:r>
      <w:r w:rsidRPr="000632A7">
        <w:rPr>
          <w:sz w:val="16"/>
          <w:szCs w:val="16"/>
        </w:rPr>
        <w:t xml:space="preserve">Le </w:t>
      </w:r>
      <w:r w:rsidRPr="000632A7">
        <w:rPr>
          <w:rFonts w:eastAsia="Times New Roman"/>
          <w:sz w:val="16"/>
          <w:szCs w:val="16"/>
        </w:rPr>
        <w:t>3</w:t>
      </w:r>
      <w:r w:rsidRPr="000632A7">
        <w:rPr>
          <w:rFonts w:eastAsia="Times New Roman"/>
          <w:sz w:val="16"/>
          <w:szCs w:val="16"/>
          <w:vertAlign w:val="superscript"/>
        </w:rPr>
        <w:t xml:space="preserve">ème </w:t>
      </w:r>
      <w:r w:rsidRPr="000632A7">
        <w:rPr>
          <w:rFonts w:eastAsia="Times New Roman"/>
          <w:sz w:val="16"/>
          <w:szCs w:val="16"/>
        </w:rPr>
        <w:t>protocole de la CDE relative à la procédure de communication ;</w:t>
      </w:r>
    </w:p>
    <w:p w:rsidR="00D336D4" w:rsidRPr="000632A7" w:rsidRDefault="00D336D4" w:rsidP="009F7A49">
      <w:pPr>
        <w:jc w:val="both"/>
        <w:rPr>
          <w:sz w:val="16"/>
          <w:szCs w:val="16"/>
        </w:rPr>
      </w:pPr>
      <w:r>
        <w:rPr>
          <w:rFonts w:eastAsia="Times New Roman"/>
          <w:sz w:val="16"/>
          <w:szCs w:val="16"/>
        </w:rPr>
        <w:t xml:space="preserve">- </w:t>
      </w:r>
      <w:r w:rsidRPr="000632A7">
        <w:rPr>
          <w:rFonts w:eastAsia="Times New Roman"/>
          <w:sz w:val="16"/>
          <w:szCs w:val="16"/>
        </w:rPr>
        <w:t>La  Convention européenne de Lanzarote sur la protection des enfants contre les abus et l’exploitation sexuels ;</w:t>
      </w:r>
    </w:p>
    <w:p w:rsidR="00D336D4" w:rsidRPr="000632A7" w:rsidRDefault="00D336D4" w:rsidP="009F7A49">
      <w:pPr>
        <w:jc w:val="both"/>
        <w:rPr>
          <w:sz w:val="16"/>
          <w:szCs w:val="16"/>
        </w:rPr>
      </w:pPr>
      <w:r>
        <w:rPr>
          <w:rFonts w:eastAsia="Times New Roman"/>
          <w:sz w:val="16"/>
          <w:szCs w:val="16"/>
        </w:rPr>
        <w:t xml:space="preserve">- </w:t>
      </w:r>
      <w:r w:rsidRPr="000632A7">
        <w:rPr>
          <w:rFonts w:eastAsia="Times New Roman"/>
          <w:sz w:val="16"/>
          <w:szCs w:val="16"/>
        </w:rPr>
        <w:t xml:space="preserve">Les conventions du Conseil de l’Europe </w:t>
      </w:r>
      <w:r>
        <w:rPr>
          <w:rFonts w:eastAsia="Times New Roman"/>
          <w:sz w:val="16"/>
          <w:szCs w:val="16"/>
        </w:rPr>
        <w:t xml:space="preserve">sur </w:t>
      </w:r>
      <w:r w:rsidRPr="000632A7">
        <w:rPr>
          <w:rFonts w:eastAsia="Times New Roman"/>
          <w:sz w:val="16"/>
          <w:szCs w:val="16"/>
        </w:rPr>
        <w:t>les relations personnelles concernant les enfants et la protection des droits de l’enfant</w:t>
      </w:r>
      <w:r>
        <w:rPr>
          <w:rFonts w:eastAsia="Times New Roman"/>
          <w:sz w:val="16"/>
          <w:szCs w:val="16"/>
        </w:rPr>
        <w:t>).</w:t>
      </w:r>
    </w:p>
    <w:p w:rsidR="00D336D4" w:rsidRPr="000632A7" w:rsidRDefault="00D336D4" w:rsidP="009F7A49">
      <w:pPr>
        <w:pStyle w:val="FootnoteText"/>
        <w:rPr>
          <w:lang w:val="fr-FR"/>
        </w:rPr>
      </w:pPr>
    </w:p>
  </w:footnote>
  <w:footnote w:id="6">
    <w:p w:rsidR="00D336D4" w:rsidRPr="009F7A49" w:rsidRDefault="00D336D4" w:rsidP="009F7A49">
      <w:pPr>
        <w:pStyle w:val="FootnoteText"/>
        <w:rPr>
          <w:lang w:val="fr-FR"/>
        </w:rPr>
      </w:pPr>
      <w:r>
        <w:rPr>
          <w:rStyle w:val="FootnoteReference"/>
        </w:rPr>
        <w:footnoteRef/>
      </w:r>
      <w:r w:rsidRPr="009F7A49">
        <w:rPr>
          <w:lang w:val="fr-FR"/>
        </w:rPr>
        <w:t xml:space="preserve"> </w:t>
      </w:r>
      <w:r w:rsidRPr="00063984">
        <w:rPr>
          <w:sz w:val="16"/>
          <w:szCs w:val="16"/>
          <w:lang w:val="fr-FR"/>
        </w:rPr>
        <w:t xml:space="preserve">Le code pénal, </w:t>
      </w:r>
      <w:r>
        <w:rPr>
          <w:sz w:val="16"/>
          <w:szCs w:val="16"/>
          <w:lang w:val="fr-FR"/>
        </w:rPr>
        <w:t xml:space="preserve">le </w:t>
      </w:r>
      <w:r w:rsidRPr="00063984">
        <w:rPr>
          <w:sz w:val="16"/>
          <w:szCs w:val="16"/>
          <w:lang w:val="fr-FR"/>
        </w:rPr>
        <w:t>code de procédure pénale,</w:t>
      </w:r>
      <w:r>
        <w:rPr>
          <w:sz w:val="16"/>
          <w:szCs w:val="16"/>
          <w:lang w:val="fr-FR"/>
        </w:rPr>
        <w:t xml:space="preserve"> le</w:t>
      </w:r>
      <w:r w:rsidRPr="00063984">
        <w:rPr>
          <w:sz w:val="16"/>
          <w:szCs w:val="16"/>
          <w:lang w:val="fr-FR"/>
        </w:rPr>
        <w:t xml:space="preserve"> code de la Famille,</w:t>
      </w:r>
      <w:r>
        <w:rPr>
          <w:sz w:val="16"/>
          <w:szCs w:val="16"/>
          <w:lang w:val="fr-FR"/>
        </w:rPr>
        <w:t xml:space="preserve"> le</w:t>
      </w:r>
      <w:r w:rsidRPr="00063984">
        <w:rPr>
          <w:sz w:val="16"/>
          <w:szCs w:val="16"/>
          <w:lang w:val="fr-FR"/>
        </w:rPr>
        <w:t xml:space="preserve"> code de travail, </w:t>
      </w:r>
      <w:r>
        <w:rPr>
          <w:sz w:val="16"/>
          <w:szCs w:val="16"/>
          <w:lang w:val="fr-FR"/>
        </w:rPr>
        <w:t>la</w:t>
      </w:r>
      <w:r w:rsidRPr="00063984">
        <w:rPr>
          <w:sz w:val="16"/>
          <w:szCs w:val="16"/>
          <w:lang w:val="fr-FR"/>
        </w:rPr>
        <w:t xml:space="preserve">  loi sur l’état civil, </w:t>
      </w:r>
      <w:r>
        <w:rPr>
          <w:sz w:val="16"/>
          <w:szCs w:val="16"/>
          <w:lang w:val="fr-FR"/>
        </w:rPr>
        <w:t xml:space="preserve"> la </w:t>
      </w:r>
      <w:r w:rsidRPr="00063984">
        <w:rPr>
          <w:sz w:val="16"/>
          <w:szCs w:val="16"/>
          <w:lang w:val="fr-FR"/>
        </w:rPr>
        <w:t xml:space="preserve">loi 15.01 relative à la </w:t>
      </w:r>
      <w:r w:rsidRPr="002A7A10">
        <w:rPr>
          <w:i/>
          <w:iCs/>
          <w:sz w:val="16"/>
          <w:szCs w:val="16"/>
          <w:lang w:val="fr-FR"/>
        </w:rPr>
        <w:t>kafala</w:t>
      </w:r>
      <w:r w:rsidRPr="00063984">
        <w:rPr>
          <w:sz w:val="16"/>
          <w:szCs w:val="16"/>
          <w:lang w:val="fr-FR"/>
        </w:rPr>
        <w:t xml:space="preserve"> des enfants abandonnés, </w:t>
      </w:r>
      <w:r>
        <w:rPr>
          <w:sz w:val="16"/>
          <w:szCs w:val="16"/>
          <w:lang w:val="fr-FR"/>
        </w:rPr>
        <w:t xml:space="preserve">le </w:t>
      </w:r>
      <w:r w:rsidRPr="00063984">
        <w:rPr>
          <w:sz w:val="16"/>
          <w:szCs w:val="16"/>
          <w:lang w:val="fr-FR"/>
        </w:rPr>
        <w:t>projet de loi sur le travail domestique,</w:t>
      </w:r>
      <w:r>
        <w:rPr>
          <w:sz w:val="16"/>
          <w:szCs w:val="16"/>
          <w:lang w:val="fr-FR"/>
        </w:rPr>
        <w:t xml:space="preserve"> la</w:t>
      </w:r>
      <w:r w:rsidRPr="00063984">
        <w:rPr>
          <w:sz w:val="16"/>
          <w:szCs w:val="16"/>
          <w:lang w:val="fr-FR"/>
        </w:rPr>
        <w:t xml:space="preserve"> loi 14/05 relative aux conditions d’ouverture et de gestion des</w:t>
      </w:r>
      <w:r>
        <w:rPr>
          <w:sz w:val="16"/>
          <w:szCs w:val="16"/>
          <w:lang w:val="fr-FR"/>
        </w:rPr>
        <w:t xml:space="preserve"> </w:t>
      </w:r>
      <w:r w:rsidRPr="00063984">
        <w:rPr>
          <w:sz w:val="16"/>
          <w:szCs w:val="16"/>
          <w:lang w:val="fr-FR"/>
        </w:rPr>
        <w:t>établissements de protection sociale</w:t>
      </w:r>
      <w:r>
        <w:rPr>
          <w:sz w:val="16"/>
          <w:szCs w:val="16"/>
          <w:lang w:val="fr-FR"/>
        </w:rPr>
        <w:t>…</w:t>
      </w:r>
      <w:r w:rsidRPr="009F7A49">
        <w:rPr>
          <w:i/>
          <w:iCs/>
          <w:sz w:val="24"/>
          <w:szCs w:val="24"/>
          <w:lang w:val="fr-FR" w:eastAsia="fr-FR"/>
        </w:rPr>
        <w:t> </w:t>
      </w:r>
    </w:p>
  </w:footnote>
  <w:footnote w:id="7">
    <w:p w:rsidR="00D336D4" w:rsidRPr="009F7A49" w:rsidRDefault="00D336D4" w:rsidP="009F7A49">
      <w:pPr>
        <w:pStyle w:val="FootnoteText"/>
        <w:rPr>
          <w:lang w:val="fr-FR"/>
        </w:rPr>
      </w:pPr>
      <w:r>
        <w:rPr>
          <w:rStyle w:val="FootnoteReference"/>
        </w:rPr>
        <w:footnoteRef/>
      </w:r>
      <w:r w:rsidRPr="009F7A49">
        <w:rPr>
          <w:lang w:val="fr-FR"/>
        </w:rPr>
        <w:t xml:space="preserve"> </w:t>
      </w:r>
      <w:r w:rsidRPr="009F7A49">
        <w:rPr>
          <w:sz w:val="18"/>
          <w:szCs w:val="18"/>
          <w:lang w:val="fr-FR"/>
        </w:rPr>
        <w:t xml:space="preserve">Selon </w:t>
      </w:r>
      <w:r w:rsidRPr="006D5F2E">
        <w:rPr>
          <w:sz w:val="18"/>
          <w:szCs w:val="18"/>
          <w:lang w:val="fr-FR"/>
        </w:rPr>
        <w:t>l’enquête</w:t>
      </w:r>
      <w:r w:rsidRPr="009F7A49">
        <w:rPr>
          <w:sz w:val="18"/>
          <w:szCs w:val="18"/>
          <w:lang w:val="fr-FR"/>
        </w:rPr>
        <w:t xml:space="preserve"> </w:t>
      </w:r>
      <w:r w:rsidRPr="006D5F2E">
        <w:rPr>
          <w:sz w:val="18"/>
          <w:szCs w:val="18"/>
          <w:lang w:val="fr-FR"/>
        </w:rPr>
        <w:t>Nationale</w:t>
      </w:r>
      <w:r w:rsidRPr="009F7A49">
        <w:rPr>
          <w:sz w:val="18"/>
          <w:szCs w:val="18"/>
          <w:lang w:val="fr-FR"/>
        </w:rPr>
        <w:t xml:space="preserve"> sur la </w:t>
      </w:r>
      <w:r w:rsidRPr="006D5F2E">
        <w:rPr>
          <w:sz w:val="18"/>
          <w:szCs w:val="18"/>
          <w:lang w:val="fr-FR"/>
        </w:rPr>
        <w:t>population</w:t>
      </w:r>
      <w:r w:rsidRPr="009F7A49">
        <w:rPr>
          <w:sz w:val="18"/>
          <w:szCs w:val="18"/>
          <w:lang w:val="fr-FR"/>
        </w:rPr>
        <w:t xml:space="preserve"> et la santé familiale (ministère de la Santé 2011) </w:t>
      </w:r>
      <w:r w:rsidRPr="006D5F2E">
        <w:rPr>
          <w:sz w:val="18"/>
          <w:szCs w:val="18"/>
          <w:lang w:val="fr-FR"/>
        </w:rPr>
        <w:t>87,7 % des enfants sont complètement  vaccinés en 2011 contre 89,1 % en 2004</w:t>
      </w:r>
    </w:p>
  </w:footnote>
  <w:footnote w:id="8">
    <w:p w:rsidR="00D336D4" w:rsidRPr="009F7A49" w:rsidRDefault="00D336D4" w:rsidP="009F7A49">
      <w:pPr>
        <w:pStyle w:val="FootnoteText"/>
        <w:rPr>
          <w:lang w:val="fr-FR"/>
        </w:rPr>
      </w:pPr>
      <w:r>
        <w:rPr>
          <w:rStyle w:val="FootnoteReference"/>
        </w:rPr>
        <w:footnoteRef/>
      </w:r>
      <w:r w:rsidRPr="009F7A49">
        <w:rPr>
          <w:lang w:val="fr-FR"/>
        </w:rPr>
        <w:t xml:space="preserve"> </w:t>
      </w:r>
      <w:r w:rsidRPr="006D5F2E">
        <w:rPr>
          <w:sz w:val="18"/>
          <w:szCs w:val="18"/>
          <w:lang w:val="fr-FR"/>
        </w:rPr>
        <w:t>Selon</w:t>
      </w:r>
      <w:r w:rsidRPr="009F7A49">
        <w:rPr>
          <w:sz w:val="18"/>
          <w:szCs w:val="18"/>
          <w:lang w:val="fr-FR"/>
        </w:rPr>
        <w:t xml:space="preserve"> les </w:t>
      </w:r>
      <w:r w:rsidRPr="006D5F2E">
        <w:rPr>
          <w:sz w:val="18"/>
          <w:szCs w:val="18"/>
          <w:lang w:val="fr-FR"/>
        </w:rPr>
        <w:t>statistiques</w:t>
      </w:r>
      <w:r w:rsidRPr="009F7A49">
        <w:rPr>
          <w:sz w:val="18"/>
          <w:szCs w:val="18"/>
          <w:lang w:val="fr-FR"/>
        </w:rPr>
        <w:t xml:space="preserve"> de 2013 du </w:t>
      </w:r>
      <w:r w:rsidRPr="006D5F2E">
        <w:rPr>
          <w:sz w:val="18"/>
          <w:szCs w:val="18"/>
          <w:lang w:val="fr-FR"/>
        </w:rPr>
        <w:t>ministère</w:t>
      </w:r>
      <w:r w:rsidRPr="009F7A49">
        <w:rPr>
          <w:sz w:val="18"/>
          <w:szCs w:val="18"/>
          <w:lang w:val="fr-FR"/>
        </w:rPr>
        <w:t xml:space="preserve"> de l’éducation nationale, le </w:t>
      </w:r>
      <w:r w:rsidRPr="006D5F2E">
        <w:rPr>
          <w:sz w:val="18"/>
          <w:szCs w:val="18"/>
          <w:lang w:val="fr-FR"/>
        </w:rPr>
        <w:t>taux de scolarisation est passé de 91.2% en 2008 à 99.6% en 2013 pour le primaire et de 70.9% à 85.1% pour le collège</w:t>
      </w:r>
    </w:p>
  </w:footnote>
  <w:footnote w:id="9">
    <w:p w:rsidR="00D336D4" w:rsidRPr="00DA3809" w:rsidRDefault="00D336D4" w:rsidP="009F7A49">
      <w:pPr>
        <w:pStyle w:val="FootnoteText"/>
        <w:rPr>
          <w:lang w:val="fr-FR"/>
        </w:rPr>
      </w:pPr>
      <w:r>
        <w:rPr>
          <w:rStyle w:val="FootnoteReference"/>
        </w:rPr>
        <w:footnoteRef/>
      </w:r>
      <w:r w:rsidRPr="009F7A49">
        <w:rPr>
          <w:lang w:val="fr-FR"/>
        </w:rPr>
        <w:t xml:space="preserve"> </w:t>
      </w:r>
      <w:r w:rsidRPr="006D5F2E">
        <w:rPr>
          <w:sz w:val="18"/>
          <w:szCs w:val="18"/>
          <w:lang w:val="fr-FR"/>
        </w:rPr>
        <w:t>L’accès à l’éducation pour les enfants migrants est devenu officiel après la diffusion de la circulaire du 9 octobre 2013</w:t>
      </w:r>
    </w:p>
  </w:footnote>
  <w:footnote w:id="10">
    <w:p w:rsidR="00D336D4" w:rsidRPr="003630C9" w:rsidRDefault="00D336D4" w:rsidP="009F7A49">
      <w:pPr>
        <w:pStyle w:val="FootnoteText"/>
        <w:rPr>
          <w:lang w:val="fr-FR"/>
        </w:rPr>
      </w:pPr>
      <w:r>
        <w:rPr>
          <w:rStyle w:val="FootnoteReference"/>
        </w:rPr>
        <w:footnoteRef/>
      </w:r>
      <w:r w:rsidRPr="0050062A">
        <w:rPr>
          <w:lang w:val="fr-FR"/>
        </w:rPr>
        <w:t xml:space="preserve"> </w:t>
      </w:r>
      <w:r>
        <w:rPr>
          <w:sz w:val="18"/>
          <w:szCs w:val="18"/>
          <w:lang w:val="fr-FR"/>
        </w:rPr>
        <w:t>S</w:t>
      </w:r>
      <w:r w:rsidRPr="006D5F2E">
        <w:rPr>
          <w:sz w:val="18"/>
          <w:szCs w:val="18"/>
          <w:lang w:val="fr-FR"/>
        </w:rPr>
        <w:t xml:space="preserve">tatistiques du </w:t>
      </w:r>
      <w:r>
        <w:rPr>
          <w:sz w:val="18"/>
          <w:szCs w:val="18"/>
          <w:lang w:val="fr-FR"/>
        </w:rPr>
        <w:t xml:space="preserve">ministère de l’Education Nationale, </w:t>
      </w:r>
      <w:r w:rsidRPr="006D5F2E">
        <w:rPr>
          <w:sz w:val="18"/>
          <w:szCs w:val="18"/>
          <w:lang w:val="fr-FR"/>
        </w:rPr>
        <w:t xml:space="preserve"> 2013</w:t>
      </w:r>
    </w:p>
  </w:footnote>
  <w:footnote w:id="11">
    <w:p w:rsidR="008205F8" w:rsidRPr="008205F8" w:rsidRDefault="008205F8">
      <w:pPr>
        <w:pStyle w:val="FootnoteText"/>
        <w:rPr>
          <w:lang w:val="fr-FR"/>
        </w:rPr>
      </w:pPr>
      <w:r>
        <w:rPr>
          <w:rStyle w:val="FootnoteReference"/>
        </w:rPr>
        <w:footnoteRef/>
      </w:r>
      <w:r>
        <w:t xml:space="preserve"> </w:t>
      </w:r>
      <w:r w:rsidRPr="008205F8">
        <w:rPr>
          <w:i/>
          <w:iCs/>
          <w:lang w:val="fr-FR"/>
        </w:rPr>
        <w:t>Ibid</w:t>
      </w:r>
      <w:r>
        <w:rPr>
          <w:i/>
          <w:iCs/>
          <w:lang w:val="fr-FR"/>
        </w:rPr>
        <w:t>.</w:t>
      </w:r>
    </w:p>
  </w:footnote>
  <w:footnote w:id="12">
    <w:p w:rsidR="008205F8" w:rsidRPr="008205F8" w:rsidRDefault="008205F8" w:rsidP="00B55613">
      <w:pPr>
        <w:pStyle w:val="FootnoteText"/>
        <w:rPr>
          <w:lang w:val="fr-FR"/>
        </w:rPr>
      </w:pPr>
      <w:r>
        <w:rPr>
          <w:rStyle w:val="FootnoteReference"/>
        </w:rPr>
        <w:footnoteRef/>
      </w:r>
      <w:r w:rsidRPr="00B55613">
        <w:rPr>
          <w:lang w:val="fr-FR"/>
        </w:rPr>
        <w:t xml:space="preserve"> </w:t>
      </w:r>
      <w:r w:rsidR="00B55613" w:rsidRPr="00007F44">
        <w:rPr>
          <w:sz w:val="18"/>
          <w:szCs w:val="18"/>
          <w:lang w:val="fr-FR"/>
        </w:rPr>
        <w:t xml:space="preserve">Etude pour </w:t>
      </w:r>
      <w:r w:rsidR="00B55613" w:rsidRPr="009F7A49">
        <w:rPr>
          <w:sz w:val="18"/>
          <w:szCs w:val="18"/>
          <w:lang w:val="fr-FR"/>
        </w:rPr>
        <w:t xml:space="preserve">la mise en place d’un mécanisme de recours et de suivi des droits de l’enfant au Maroc, </w:t>
      </w:r>
      <w:r w:rsidR="00B55613" w:rsidRPr="00007F44">
        <w:rPr>
          <w:sz w:val="18"/>
          <w:szCs w:val="18"/>
          <w:lang w:val="fr-FR"/>
        </w:rPr>
        <w:t xml:space="preserve">publication du Conseil </w:t>
      </w:r>
      <w:r w:rsidR="00B55613">
        <w:rPr>
          <w:sz w:val="18"/>
          <w:szCs w:val="18"/>
          <w:lang w:val="fr-FR"/>
        </w:rPr>
        <w:t>consultatif</w:t>
      </w:r>
      <w:r w:rsidR="00B55613" w:rsidRPr="00007F44">
        <w:rPr>
          <w:sz w:val="18"/>
          <w:szCs w:val="18"/>
          <w:lang w:val="fr-FR"/>
        </w:rPr>
        <w:t xml:space="preserve"> des Droits de l’Ho</w:t>
      </w:r>
      <w:r w:rsidR="00B55613">
        <w:rPr>
          <w:sz w:val="18"/>
          <w:szCs w:val="18"/>
          <w:lang w:val="fr-FR"/>
        </w:rPr>
        <w:t>m</w:t>
      </w:r>
      <w:r w:rsidR="00B55613" w:rsidRPr="00007F44">
        <w:rPr>
          <w:sz w:val="18"/>
          <w:szCs w:val="18"/>
          <w:lang w:val="fr-FR"/>
        </w:rPr>
        <w:t xml:space="preserve">me, </w:t>
      </w:r>
      <w:r w:rsidR="00B55613" w:rsidRPr="009F7A49">
        <w:rPr>
          <w:sz w:val="18"/>
          <w:szCs w:val="18"/>
          <w:lang w:val="fr-FR"/>
        </w:rPr>
        <w:t>décembre 2010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D4" w:rsidRDefault="00D336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D4" w:rsidRDefault="00D336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6D4" w:rsidRDefault="00D336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452FE"/>
    <w:multiLevelType w:val="hybridMultilevel"/>
    <w:tmpl w:val="FAD092D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A49"/>
    <w:rsid w:val="000A1024"/>
    <w:rsid w:val="000E758D"/>
    <w:rsid w:val="00156B9A"/>
    <w:rsid w:val="002A7A10"/>
    <w:rsid w:val="003F692D"/>
    <w:rsid w:val="004C1578"/>
    <w:rsid w:val="004F25ED"/>
    <w:rsid w:val="0050062A"/>
    <w:rsid w:val="008205F8"/>
    <w:rsid w:val="00945597"/>
    <w:rsid w:val="00955A37"/>
    <w:rsid w:val="009F7A49"/>
    <w:rsid w:val="00A31082"/>
    <w:rsid w:val="00AB31AF"/>
    <w:rsid w:val="00AD7AEC"/>
    <w:rsid w:val="00B4512B"/>
    <w:rsid w:val="00B55613"/>
    <w:rsid w:val="00BC64BB"/>
    <w:rsid w:val="00BF2762"/>
    <w:rsid w:val="00C304EF"/>
    <w:rsid w:val="00D336D4"/>
    <w:rsid w:val="00E258FB"/>
    <w:rsid w:val="00E361D2"/>
    <w:rsid w:val="00E470D0"/>
    <w:rsid w:val="00F867F3"/>
    <w:rsid w:val="00FF5E5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F7A49"/>
    <w:pPr>
      <w:widowControl w:val="0"/>
      <w:tabs>
        <w:tab w:val="center" w:pos="4153"/>
        <w:tab w:val="right" w:pos="8306"/>
      </w:tabs>
      <w:spacing w:after="0" w:line="240" w:lineRule="auto"/>
    </w:pPr>
    <w:rPr>
      <w:rFonts w:ascii="Courier New" w:eastAsia="Times New Roman" w:hAnsi="Courier New" w:cs="Times New Roman"/>
      <w:snapToGrid w:val="0"/>
      <w:sz w:val="24"/>
      <w:szCs w:val="20"/>
    </w:rPr>
  </w:style>
  <w:style w:type="character" w:customStyle="1" w:styleId="HeaderChar">
    <w:name w:val="Header Char"/>
    <w:link w:val="Header"/>
    <w:rsid w:val="009F7A49"/>
    <w:rPr>
      <w:rFonts w:ascii="Courier New" w:eastAsia="Times New Roman" w:hAnsi="Courier New" w:cs="Times New Roman"/>
      <w:snapToGrid/>
      <w:sz w:val="24"/>
      <w:szCs w:val="20"/>
    </w:rPr>
  </w:style>
  <w:style w:type="character" w:styleId="FootnoteReference">
    <w:name w:val="footnote reference"/>
    <w:aliases w:val="4_G,referencia nota al pie,Texto de nota al pie,Footnotes refss,Footnote text"/>
    <w:uiPriority w:val="99"/>
    <w:qFormat/>
    <w:rsid w:val="009F7A49"/>
    <w:rPr>
      <w:vertAlign w:val="superscript"/>
    </w:rPr>
  </w:style>
  <w:style w:type="paragraph" w:styleId="FootnoteText">
    <w:name w:val="footnote text"/>
    <w:aliases w:val="FA Fu,Footnote Text Char Char Char Char Char,Footnote Text Char Char Char Char,Footnote reference, Char,Char"/>
    <w:basedOn w:val="Normal"/>
    <w:link w:val="FootnoteTextChar"/>
    <w:uiPriority w:val="99"/>
    <w:rsid w:val="009F7A49"/>
    <w:pPr>
      <w:spacing w:after="0" w:line="240" w:lineRule="auto"/>
    </w:pPr>
    <w:rPr>
      <w:rFonts w:ascii="Times New Roman" w:eastAsia="Times New Roman" w:hAnsi="Times New Roman" w:cs="Times New Roman"/>
      <w:sz w:val="20"/>
      <w:szCs w:val="20"/>
      <w:lang w:val="es-MX" w:eastAsia="es-ES"/>
    </w:rPr>
  </w:style>
  <w:style w:type="character" w:customStyle="1" w:styleId="FootnoteTextChar">
    <w:name w:val="Footnote Text Char"/>
    <w:aliases w:val="FA Fu Char,Footnote Text Char Char Char Char Char Char,Footnote Text Char Char Char Char Char1,Footnote reference Char, Char Char,Char Char"/>
    <w:link w:val="FootnoteText"/>
    <w:uiPriority w:val="99"/>
    <w:rsid w:val="009F7A49"/>
    <w:rPr>
      <w:rFonts w:ascii="Times New Roman" w:eastAsia="Times New Roman" w:hAnsi="Times New Roman" w:cs="Times New Roman"/>
      <w:sz w:val="20"/>
      <w:szCs w:val="20"/>
      <w:lang w:val="es-MX" w:eastAsia="es-ES"/>
    </w:rPr>
  </w:style>
  <w:style w:type="paragraph" w:customStyle="1" w:styleId="Listecouleur-Accent11">
    <w:name w:val="Liste couleur - Accent 11"/>
    <w:basedOn w:val="Normal"/>
    <w:link w:val="Listecouleur-Accent1Car"/>
    <w:uiPriority w:val="34"/>
    <w:qFormat/>
    <w:rsid w:val="009F7A49"/>
    <w:pPr>
      <w:ind w:left="720"/>
      <w:contextualSpacing/>
    </w:pPr>
    <w:rPr>
      <w:rFonts w:eastAsia="Calibri" w:cs="Times New Roman"/>
      <w:sz w:val="20"/>
      <w:szCs w:val="20"/>
    </w:rPr>
  </w:style>
  <w:style w:type="character" w:styleId="Hyperlink">
    <w:name w:val="Hyperlink"/>
    <w:rsid w:val="009F7A49"/>
    <w:rPr>
      <w:color w:val="0000FF"/>
      <w:u w:val="single"/>
    </w:rPr>
  </w:style>
  <w:style w:type="character" w:customStyle="1" w:styleId="Listecouleur-Accent1Car">
    <w:name w:val="Liste couleur - Accent 1 Car"/>
    <w:link w:val="Listecouleur-Accent11"/>
    <w:uiPriority w:val="34"/>
    <w:rsid w:val="009F7A49"/>
    <w:rPr>
      <w:rFonts w:ascii="Calibri" w:eastAsia="Calibri" w:hAnsi="Calibri" w:cs="Times New Roman"/>
      <w:sz w:val="20"/>
      <w:szCs w:val="20"/>
    </w:rPr>
  </w:style>
  <w:style w:type="paragraph" w:styleId="Footer">
    <w:name w:val="footer"/>
    <w:basedOn w:val="Normal"/>
    <w:link w:val="FooterChar"/>
    <w:uiPriority w:val="99"/>
    <w:unhideWhenUsed/>
    <w:rsid w:val="009F7A49"/>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FooterChar">
    <w:name w:val="Footer Char"/>
    <w:link w:val="Footer"/>
    <w:uiPriority w:val="99"/>
    <w:rsid w:val="009F7A49"/>
    <w:rPr>
      <w:rFonts w:ascii="Times New Roman" w:eastAsia="SimSun" w:hAnsi="Times New Roman" w:cs="Times New Roman"/>
      <w:sz w:val="24"/>
      <w:szCs w:val="24"/>
      <w:lang w:eastAsia="zh-CN"/>
    </w:rPr>
  </w:style>
  <w:style w:type="paragraph" w:styleId="BalloonText">
    <w:name w:val="Balloon Text"/>
    <w:basedOn w:val="Normal"/>
    <w:link w:val="BalloonTextChar"/>
    <w:uiPriority w:val="99"/>
    <w:semiHidden/>
    <w:unhideWhenUsed/>
    <w:rsid w:val="000E758D"/>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rsid w:val="000E758D"/>
    <w:rPr>
      <w:rFonts w:ascii="Lucida Grande" w:hAnsi="Lucida Grande" w:cs="Lucida Grande"/>
      <w:sz w:val="18"/>
      <w:szCs w:val="18"/>
    </w:rPr>
  </w:style>
  <w:style w:type="character" w:styleId="CommentReference">
    <w:name w:val="annotation reference"/>
    <w:uiPriority w:val="99"/>
    <w:semiHidden/>
    <w:unhideWhenUsed/>
    <w:rsid w:val="003F692D"/>
    <w:rPr>
      <w:sz w:val="18"/>
      <w:szCs w:val="18"/>
    </w:rPr>
  </w:style>
  <w:style w:type="paragraph" w:styleId="CommentText">
    <w:name w:val="annotation text"/>
    <w:basedOn w:val="Normal"/>
    <w:link w:val="CommentTextChar"/>
    <w:uiPriority w:val="99"/>
    <w:semiHidden/>
    <w:unhideWhenUsed/>
    <w:rsid w:val="003F692D"/>
    <w:pPr>
      <w:spacing w:line="240" w:lineRule="auto"/>
    </w:pPr>
    <w:rPr>
      <w:sz w:val="24"/>
      <w:szCs w:val="24"/>
    </w:rPr>
  </w:style>
  <w:style w:type="character" w:customStyle="1" w:styleId="CommentTextChar">
    <w:name w:val="Comment Text Char"/>
    <w:link w:val="CommentText"/>
    <w:uiPriority w:val="99"/>
    <w:semiHidden/>
    <w:rsid w:val="003F692D"/>
    <w:rPr>
      <w:sz w:val="24"/>
      <w:szCs w:val="24"/>
    </w:rPr>
  </w:style>
  <w:style w:type="paragraph" w:styleId="CommentSubject">
    <w:name w:val="annotation subject"/>
    <w:basedOn w:val="CommentText"/>
    <w:next w:val="CommentText"/>
    <w:link w:val="CommentSubjectChar"/>
    <w:uiPriority w:val="99"/>
    <w:semiHidden/>
    <w:unhideWhenUsed/>
    <w:rsid w:val="003F692D"/>
    <w:rPr>
      <w:b/>
      <w:bCs/>
      <w:sz w:val="20"/>
      <w:szCs w:val="20"/>
    </w:rPr>
  </w:style>
  <w:style w:type="character" w:customStyle="1" w:styleId="CommentSubjectChar">
    <w:name w:val="Comment Subject Char"/>
    <w:link w:val="CommentSubject"/>
    <w:uiPriority w:val="99"/>
    <w:semiHidden/>
    <w:rsid w:val="003F692D"/>
    <w:rPr>
      <w:b/>
      <w:bCs/>
      <w:sz w:val="20"/>
      <w:szCs w:val="20"/>
    </w:rPr>
  </w:style>
  <w:style w:type="paragraph" w:styleId="ListParagraph">
    <w:name w:val="List Paragraph"/>
    <w:basedOn w:val="Normal"/>
    <w:uiPriority w:val="72"/>
    <w:qFormat/>
    <w:rsid w:val="002A7A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F7A49"/>
    <w:pPr>
      <w:widowControl w:val="0"/>
      <w:tabs>
        <w:tab w:val="center" w:pos="4153"/>
        <w:tab w:val="right" w:pos="8306"/>
      </w:tabs>
      <w:spacing w:after="0" w:line="240" w:lineRule="auto"/>
    </w:pPr>
    <w:rPr>
      <w:rFonts w:ascii="Courier New" w:eastAsia="Times New Roman" w:hAnsi="Courier New" w:cs="Times New Roman"/>
      <w:snapToGrid w:val="0"/>
      <w:sz w:val="24"/>
      <w:szCs w:val="20"/>
    </w:rPr>
  </w:style>
  <w:style w:type="character" w:customStyle="1" w:styleId="HeaderChar">
    <w:name w:val="Header Char"/>
    <w:link w:val="Header"/>
    <w:rsid w:val="009F7A49"/>
    <w:rPr>
      <w:rFonts w:ascii="Courier New" w:eastAsia="Times New Roman" w:hAnsi="Courier New" w:cs="Times New Roman"/>
      <w:snapToGrid/>
      <w:sz w:val="24"/>
      <w:szCs w:val="20"/>
    </w:rPr>
  </w:style>
  <w:style w:type="character" w:styleId="FootnoteReference">
    <w:name w:val="footnote reference"/>
    <w:aliases w:val="4_G,referencia nota al pie,Texto de nota al pie,Footnotes refss,Footnote text"/>
    <w:uiPriority w:val="99"/>
    <w:qFormat/>
    <w:rsid w:val="009F7A49"/>
    <w:rPr>
      <w:vertAlign w:val="superscript"/>
    </w:rPr>
  </w:style>
  <w:style w:type="paragraph" w:styleId="FootnoteText">
    <w:name w:val="footnote text"/>
    <w:aliases w:val="FA Fu,Footnote Text Char Char Char Char Char,Footnote Text Char Char Char Char,Footnote reference, Char,Char"/>
    <w:basedOn w:val="Normal"/>
    <w:link w:val="FootnoteTextChar"/>
    <w:uiPriority w:val="99"/>
    <w:rsid w:val="009F7A49"/>
    <w:pPr>
      <w:spacing w:after="0" w:line="240" w:lineRule="auto"/>
    </w:pPr>
    <w:rPr>
      <w:rFonts w:ascii="Times New Roman" w:eastAsia="Times New Roman" w:hAnsi="Times New Roman" w:cs="Times New Roman"/>
      <w:sz w:val="20"/>
      <w:szCs w:val="20"/>
      <w:lang w:val="es-MX" w:eastAsia="es-ES"/>
    </w:rPr>
  </w:style>
  <w:style w:type="character" w:customStyle="1" w:styleId="FootnoteTextChar">
    <w:name w:val="Footnote Text Char"/>
    <w:aliases w:val="FA Fu Char,Footnote Text Char Char Char Char Char Char,Footnote Text Char Char Char Char Char1,Footnote reference Char, Char Char,Char Char"/>
    <w:link w:val="FootnoteText"/>
    <w:uiPriority w:val="99"/>
    <w:rsid w:val="009F7A49"/>
    <w:rPr>
      <w:rFonts w:ascii="Times New Roman" w:eastAsia="Times New Roman" w:hAnsi="Times New Roman" w:cs="Times New Roman"/>
      <w:sz w:val="20"/>
      <w:szCs w:val="20"/>
      <w:lang w:val="es-MX" w:eastAsia="es-ES"/>
    </w:rPr>
  </w:style>
  <w:style w:type="paragraph" w:customStyle="1" w:styleId="Listecouleur-Accent11">
    <w:name w:val="Liste couleur - Accent 11"/>
    <w:basedOn w:val="Normal"/>
    <w:link w:val="Listecouleur-Accent1Car"/>
    <w:uiPriority w:val="34"/>
    <w:qFormat/>
    <w:rsid w:val="009F7A49"/>
    <w:pPr>
      <w:ind w:left="720"/>
      <w:contextualSpacing/>
    </w:pPr>
    <w:rPr>
      <w:rFonts w:eastAsia="Calibri" w:cs="Times New Roman"/>
      <w:sz w:val="20"/>
      <w:szCs w:val="20"/>
    </w:rPr>
  </w:style>
  <w:style w:type="character" w:styleId="Hyperlink">
    <w:name w:val="Hyperlink"/>
    <w:rsid w:val="009F7A49"/>
    <w:rPr>
      <w:color w:val="0000FF"/>
      <w:u w:val="single"/>
    </w:rPr>
  </w:style>
  <w:style w:type="character" w:customStyle="1" w:styleId="Listecouleur-Accent1Car">
    <w:name w:val="Liste couleur - Accent 1 Car"/>
    <w:link w:val="Listecouleur-Accent11"/>
    <w:uiPriority w:val="34"/>
    <w:rsid w:val="009F7A49"/>
    <w:rPr>
      <w:rFonts w:ascii="Calibri" w:eastAsia="Calibri" w:hAnsi="Calibri" w:cs="Times New Roman"/>
      <w:sz w:val="20"/>
      <w:szCs w:val="20"/>
    </w:rPr>
  </w:style>
  <w:style w:type="paragraph" w:styleId="Footer">
    <w:name w:val="footer"/>
    <w:basedOn w:val="Normal"/>
    <w:link w:val="FooterChar"/>
    <w:uiPriority w:val="99"/>
    <w:unhideWhenUsed/>
    <w:rsid w:val="009F7A49"/>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FooterChar">
    <w:name w:val="Footer Char"/>
    <w:link w:val="Footer"/>
    <w:uiPriority w:val="99"/>
    <w:rsid w:val="009F7A49"/>
    <w:rPr>
      <w:rFonts w:ascii="Times New Roman" w:eastAsia="SimSun" w:hAnsi="Times New Roman" w:cs="Times New Roman"/>
      <w:sz w:val="24"/>
      <w:szCs w:val="24"/>
      <w:lang w:eastAsia="zh-CN"/>
    </w:rPr>
  </w:style>
  <w:style w:type="paragraph" w:styleId="BalloonText">
    <w:name w:val="Balloon Text"/>
    <w:basedOn w:val="Normal"/>
    <w:link w:val="BalloonTextChar"/>
    <w:uiPriority w:val="99"/>
    <w:semiHidden/>
    <w:unhideWhenUsed/>
    <w:rsid w:val="000E758D"/>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rsid w:val="000E758D"/>
    <w:rPr>
      <w:rFonts w:ascii="Lucida Grande" w:hAnsi="Lucida Grande" w:cs="Lucida Grande"/>
      <w:sz w:val="18"/>
      <w:szCs w:val="18"/>
    </w:rPr>
  </w:style>
  <w:style w:type="character" w:styleId="CommentReference">
    <w:name w:val="annotation reference"/>
    <w:uiPriority w:val="99"/>
    <w:semiHidden/>
    <w:unhideWhenUsed/>
    <w:rsid w:val="003F692D"/>
    <w:rPr>
      <w:sz w:val="18"/>
      <w:szCs w:val="18"/>
    </w:rPr>
  </w:style>
  <w:style w:type="paragraph" w:styleId="CommentText">
    <w:name w:val="annotation text"/>
    <w:basedOn w:val="Normal"/>
    <w:link w:val="CommentTextChar"/>
    <w:uiPriority w:val="99"/>
    <w:semiHidden/>
    <w:unhideWhenUsed/>
    <w:rsid w:val="003F692D"/>
    <w:pPr>
      <w:spacing w:line="240" w:lineRule="auto"/>
    </w:pPr>
    <w:rPr>
      <w:sz w:val="24"/>
      <w:szCs w:val="24"/>
    </w:rPr>
  </w:style>
  <w:style w:type="character" w:customStyle="1" w:styleId="CommentTextChar">
    <w:name w:val="Comment Text Char"/>
    <w:link w:val="CommentText"/>
    <w:uiPriority w:val="99"/>
    <w:semiHidden/>
    <w:rsid w:val="003F692D"/>
    <w:rPr>
      <w:sz w:val="24"/>
      <w:szCs w:val="24"/>
    </w:rPr>
  </w:style>
  <w:style w:type="paragraph" w:styleId="CommentSubject">
    <w:name w:val="annotation subject"/>
    <w:basedOn w:val="CommentText"/>
    <w:next w:val="CommentText"/>
    <w:link w:val="CommentSubjectChar"/>
    <w:uiPriority w:val="99"/>
    <w:semiHidden/>
    <w:unhideWhenUsed/>
    <w:rsid w:val="003F692D"/>
    <w:rPr>
      <w:b/>
      <w:bCs/>
      <w:sz w:val="20"/>
      <w:szCs w:val="20"/>
    </w:rPr>
  </w:style>
  <w:style w:type="character" w:customStyle="1" w:styleId="CommentSubjectChar">
    <w:name w:val="Comment Subject Char"/>
    <w:link w:val="CommentSubject"/>
    <w:uiPriority w:val="99"/>
    <w:semiHidden/>
    <w:rsid w:val="003F692D"/>
    <w:rPr>
      <w:b/>
      <w:bCs/>
      <w:sz w:val="20"/>
      <w:szCs w:val="20"/>
    </w:rPr>
  </w:style>
  <w:style w:type="paragraph" w:styleId="ListParagraph">
    <w:name w:val="List Paragraph"/>
    <w:basedOn w:val="Normal"/>
    <w:uiPriority w:val="72"/>
    <w:qFormat/>
    <w:rsid w:val="002A7A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cndh.ma/fr/memorandums/la-mise-en-place-de-lautorite-pour-la-parite-et-la-lutte-contre-toutes-les-formes-de" TargetMode="External"/><Relationship Id="rId2" Type="http://schemas.openxmlformats.org/officeDocument/2006/relationships/hyperlink" Target="http://www.cndh.org.ma/fr/rapports-thematiques/conclusions-et-recommandations-du-rapport-etrangers-et-droits-de-lhomme-au" TargetMode="External"/><Relationship Id="rId1" Type="http://schemas.openxmlformats.org/officeDocument/2006/relationships/hyperlink" Target="http://www.cndh.org.ma/fr/contribution-au-debat/conseil-consultatif-de-la-famille-et-de-lenfance" TargetMode="External"/><Relationship Id="rId4" Type="http://schemas.openxmlformats.org/officeDocument/2006/relationships/hyperlink" Target="http://www.cndh.org.ma/fr/etudes/vers-la-mise-en-place-dun-mecanisme-de-recours-et-de-suivi-des-droits-de-lenfant-au-maroc"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F18AF28EAB6004E88A60F194B4BE5E0" ma:contentTypeVersion="0" ma:contentTypeDescription="Create a new document." ma:contentTypeScope="" ma:versionID="70965e5ac96d95f82b69b6ac0ca273b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700959-9E9F-4E14-BE5F-2924D1D8BD22}"/>
</file>

<file path=customXml/itemProps2.xml><?xml version="1.0" encoding="utf-8"?>
<ds:datastoreItem xmlns:ds="http://schemas.openxmlformats.org/officeDocument/2006/customXml" ds:itemID="{B4A9E69F-34DF-4CE6-A9AB-F0259DE49744}"/>
</file>

<file path=customXml/itemProps3.xml><?xml version="1.0" encoding="utf-8"?>
<ds:datastoreItem xmlns:ds="http://schemas.openxmlformats.org/officeDocument/2006/customXml" ds:itemID="{B53D5852-B4C0-49A8-B057-76667A0CBB5B}"/>
</file>

<file path=customXml/itemProps4.xml><?xml version="1.0" encoding="utf-8"?>
<ds:datastoreItem xmlns:ds="http://schemas.openxmlformats.org/officeDocument/2006/customXml" ds:itemID="{5944F27B-FAA0-4386-91C0-D40D3412244C}"/>
</file>

<file path=docProps/app.xml><?xml version="1.0" encoding="utf-8"?>
<Properties xmlns="http://schemas.openxmlformats.org/officeDocument/2006/extended-properties" xmlns:vt="http://schemas.openxmlformats.org/officeDocument/2006/docPropsVTypes">
  <Template>Normal</Template>
  <TotalTime>1</TotalTime>
  <Pages>7</Pages>
  <Words>2589</Words>
  <Characters>14759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TeChNi-AmEcO</Company>
  <LinksUpToDate>false</LinksUpToDate>
  <CharactersWithSpaces>17314</CharactersWithSpaces>
  <SharedDoc>false</SharedDoc>
  <HLinks>
    <vt:vector size="24" baseType="variant">
      <vt:variant>
        <vt:i4>2555945</vt:i4>
      </vt:variant>
      <vt:variant>
        <vt:i4>9</vt:i4>
      </vt:variant>
      <vt:variant>
        <vt:i4>0</vt:i4>
      </vt:variant>
      <vt:variant>
        <vt:i4>5</vt:i4>
      </vt:variant>
      <vt:variant>
        <vt:lpwstr>http://www.cndh.org.ma/fr/etudes/vers-la-mise-en-place-dun-mecanisme-de-recours-et-de-suivi-des-droits-de-lenfant-au-maroc</vt:lpwstr>
      </vt:variant>
      <vt:variant>
        <vt:lpwstr/>
      </vt:variant>
      <vt:variant>
        <vt:i4>2162725</vt:i4>
      </vt:variant>
      <vt:variant>
        <vt:i4>6</vt:i4>
      </vt:variant>
      <vt:variant>
        <vt:i4>0</vt:i4>
      </vt:variant>
      <vt:variant>
        <vt:i4>5</vt:i4>
      </vt:variant>
      <vt:variant>
        <vt:lpwstr>http://www.cndh.ma/fr/memorandums/la-mise-en-place-de-lautorite-pour-la-parite-et-la-lutte-contre-toutes-les-formes-de</vt:lpwstr>
      </vt:variant>
      <vt:variant>
        <vt:lpwstr/>
      </vt:variant>
      <vt:variant>
        <vt:i4>1441913</vt:i4>
      </vt:variant>
      <vt:variant>
        <vt:i4>3</vt:i4>
      </vt:variant>
      <vt:variant>
        <vt:i4>0</vt:i4>
      </vt:variant>
      <vt:variant>
        <vt:i4>5</vt:i4>
      </vt:variant>
      <vt:variant>
        <vt:lpwstr>http://www.cndh.org.ma/fr/rapports-thematiques/conclusions-et-recommandations-du-rapport-etrangers-et-droits-de-lhomme-au</vt:lpwstr>
      </vt:variant>
      <vt:variant>
        <vt:lpwstr/>
      </vt:variant>
      <vt:variant>
        <vt:i4>4456543</vt:i4>
      </vt:variant>
      <vt:variant>
        <vt:i4>0</vt:i4>
      </vt:variant>
      <vt:variant>
        <vt:i4>0</vt:i4>
      </vt:variant>
      <vt:variant>
        <vt:i4>5</vt:i4>
      </vt:variant>
      <vt:variant>
        <vt:lpwstr>http://www.cndh.org.ma/fr/contribution-au-debat/conseil-consultatif-de-la-famille-et-de-lenfance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k.ramli</dc:creator>
  <cp:lastModifiedBy>Boit James</cp:lastModifiedBy>
  <cp:revision>2</cp:revision>
  <cp:lastPrinted>2014-08-29T10:13:00Z</cp:lastPrinted>
  <dcterms:created xsi:type="dcterms:W3CDTF">2014-09-01T06:55:00Z</dcterms:created>
  <dcterms:modified xsi:type="dcterms:W3CDTF">2014-09-01T06:55:00Z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0x0101007F18AF28EAB6004E88A60F194B4BE5E0</vt:lpwstr>
  </property>
</Properties>
</file>